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 apakšunktā ietvertais uzdevums sagatavot informatīvus materiālus, nodrošināt to izplatīšanu un izvietošanu valsts un pašvaldību ārstniecības iestādēs, kā arī to tīmekļvietnēs, atgādinot par pacientu un viņu tuvinieku tiesībām un iespējam ziņot, ja ārstniecības persona pieprasījusi neoficiālus maksājumus vai citus prettiesiskus labumus, mūsu ieskatā, nav Valsts policijas kompetences jautājums. Tāpēc, vienlaikus uzsverot arī nekomplekta un cilvēkresursu trūkukuma problēmu Valsts policijā, lūdzam no minētā apakpšunkta atbildīgo institūciju saraksta svītrot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Alvils Strīķeris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29.10.2025.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29.10.2025.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