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25-TA-1065: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2013. gada 29. oktobra noteikumos Nr. 1191 "Kārtība, kādā publiska persona nomā nekustamo īpašumu no privātpersonas vai kapitālsabiedrības un publicē informāciju par nomātajiem un nomāt paredzētajiem nekustamajiem īpašumiem"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nenorādīt administratīvo izmaksu aprēķinātās summas ar mīnus zīmi.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izņemot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valsts aizsardzības, kā arī sabiedriskās kārtības un drošības jomas ir cieši saistītas, tomēr normatīvo aktu līmenī tās tiek nodalītas, jo par valsts aizsardzības jomu valstī atbild aizsardzības resors, tikmēr par iekšējās drošības jautājumiem atbild iekšlietu resors. Ievērojot minēto, Iekšlietu ministrija uzskata, ka tās 04.07.2025. atzinumā izteiktais priekšlikums neietilpst MKN 1191 2.17.apakšpunktā noteiktā izņēmuma tvērumā. Ievērojot iepriekš minēto un to, ka Valsts policijas struktūrvienībām, jo īpaši, kas attiecas uz pretterorisma vienību darbības nodrošināšanu, nepieciešami nekustamie īpašumi ar specifiskām prasībām, Iekšlietu ministrija uztur savu iepriekš izteikto priekšlikumu un atkārtoti lūdz precizēt noteikumu 2.13.apakšpunktu, paredzot, ka uz šo gadījumu nav  attiecināma kārtībā, kādā publiska persona nomā nekustamo īpašumu no privātpersonas vai kapitālsabiedrības.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noteikumu 2.13.apakšpunktu, izsakot to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“2.13. nomā nekustamo īpašumu valsts drošības iestādes vai Valsts policijas pretterorisma vienības darbības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Noteikumus nepiemēro, izņemot šo noteikumu </w:t>
            </w:r>
            <w:r w:rsidR="00000000" w:rsidRPr="00000000" w:rsidDel="00000000">
              <w:rPr>
                <w:rtl w:val="0"/>
              </w:rPr>
              <w:t xml:space="preserve">17.</w:t>
            </w:r>
            <w:r w:rsidR="00000000" w:rsidRPr="00000000" w:rsidDel="00000000">
              <w:rPr>
                <w:rtl w:val="0"/>
              </w:rPr>
              <w:t xml:space="preserve"> un </w:t>
            </w:r>
            <w:r w:rsidR="00000000" w:rsidRPr="00000000" w:rsidDel="00000000">
              <w:rPr>
                <w:rtl w:val="0"/>
              </w:rPr>
              <w:t xml:space="preserve">18.</w:t>
            </w:r>
            <w:r w:rsidR="00000000" w:rsidRPr="00000000" w:rsidDel="00000000">
              <w:rPr>
                <w:rtl w:val="0"/>
              </w:rPr>
              <w:t xml:space="preserve"> punktu, 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grozījumu projekts paredz paplašināt izņēmuma gadījumus, kuros nepiemēro MKN 1191 noteikto kārtību, kādā publiska persona nomā nekustamo īpašumu no privātpersonas vai kapitālsabiedrības un publicē informāciju par tiem, kā arī ievērojot to, ka migrācijas un patvēruma politika ir atsevišķa politikas joma, kas ir nošķirta no valsts robežas drošības politikas un kuru atbilstoši Ministru kabineta 2021.gada 27.maija noteikumiem Nr.321 "Pilsonības un migrācijas lietu pārvaldes nolikums" īsteno Pilsonības un migrācijas lietu pārvalde, Iekšlietu ministrija uzskata, ka tās 04.07.2025. atzinumā izteiktais priekšlikums neietilpst MKN 1191 2.5.apakšpunktā minētā izņēmuma tvērumā, līdz ar to uz konkrēto gadījumu nav attiecināms. Ievērojot minēto, Iekšlietu ministrija uztur savu iepriekš izteikto priekšlikumu, aicinot papildināt MKN 1191 2.punktu, paredzot, ka kārtība, kādā publiska persona nomā nekustamo īpašumu no privātpersonas vai kapitālsabiedrības, nav attiecināma arī uz gadījumiem, kad nomā nekustamo īpašumu, kas nepieciešams patvēruma meklētāju izmitināšanai, jo attiecībā uz tiem ir attiecināmas specifiskas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2.punktu ar jaunu apakšpunktu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“nomā nekustamo īpašumu, kas nepieciešams patvēruma meklētāju izmitināšanai.” vai "nomā nekustamo īpašumu, lai īstenotu normatīvajos aktos noteiktos uzdevumus migrācijas vai patvēruma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Dace Pelne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nomā ūdenstilpes vai ūdenstiplnes krastam piegulošo teritoriju;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labot pareizrakstību vārdam "ūdenstiplnes" (ūdenstilpes).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Šāble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15.08.2025. 15.12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25-TA-1065</w:t>
    </w:r>
    <w:r>
      <w:br/>
    </w:r>
    <w:r w:rsidR="00000000" w:rsidRPr="00000000" w:rsidDel="00000000">
      <w:rPr>
        <w:rtl w:val="0"/>
      </w:rPr>
      <w:t xml:space="preserve">Izdrukāts 15.08.2025. 15.12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Atzinumi_25-TA-1065.docx</dc:title>
</cp:coreProperties>
</file>

<file path=docProps/custom.xml><?xml version="1.0" encoding="utf-8"?>
<Properties xmlns="http://schemas.openxmlformats.org/officeDocument/2006/custom-properties" xmlns:vt="http://schemas.openxmlformats.org/officeDocument/2006/docPropsVTypes"/>
</file>