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romu stratēģiskā ietvara pasākumu īstenošanai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institūcijai un līdzatbildīgajām institūcijām plānā paredzēto pasākumu īstenošanu 2024. gadā nodrošināt atbilstoši piešķirtajiem valsts budžeta līdzekļiem. Jautājumu par papildu valsts budžeta līdzekļu piešķiršanu plāna īstenošanai 2025., 2026. un 2027. gadā skatīt likumprojekta "Par valsts budžetu 2025. gadam un budžeta ietvaru 2025., 2026. un 2027. 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3.punkts ir papildināms ar teikumu šādā redakcijā: "Savukārt, ja budžeta likumprojekta sagatavošanas procesā netiek atbalstīta papildu finansējuma piešķiršana, plānā paredzētais ir nodrošināms atbilstoši iesaistīto institūciju rīcībā esošajam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IV.sadaļas “Pasākumi plāna mērķa sasniegšanai” ailē  “Izpildes termiņš (līdz pusgadam)” 4.13.pasākumam "Romu nodarbinātības veicināšana" ir norādīts izpildes termiņš 2027.gada II pusgads, savukārt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termiņš ir 2029.gada 31.decembris. Attiecīgi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V.sadaļas “Ietekmes novērtējums uz valsts un pašvaldību budžetu” 4.13.pasākumam Labklājības ministrijas speciālā budžeta apakšprogrammai 04.02.00 “Nodarbinātības speciālais budžets” norādīt pasākumam plānoto un/vai nepieciešamo papildu finansējuma apmēru, vai arī papildināt ar atsauci, kāpēc finansējuma apmēru nevar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V.sadaļas “Ietekmes novērtējums uz valsts un pašvaldību budžetu” 4.13.pasākumam Labklājības ministrijas pamatbudžeta apakšprogrammai 74.06.00 „Atveseļošanas un noturības mehānisma (ANM) projekti un pasākumi” svītrot 76.atsaucē sniegto informāciju un papildināt ar informāciju par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īstenošanu. Vienlaikus lūdzam papildināt atsauci ar informāciju, kāpēc finansējuma apmērs nav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V.sadaļas “Ietekmes novērtējums uz valsts un pašvaldību budžetu” 4.13.pasākumam svītrot informāciju par Labklājības ministrijas pamatbudžeta apakšprogrammu 63.07.00 “Eiropas Sociālā fonda (ESF) īstenotie projekti labklājības nozarē (2014-2020)”, jo minētais projekts ir noslēgts 2023.gada 31.decembrī, savukārt plāna projekts paredzēts  2024.-2027.gadam.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V.sadaļas “Ietekmes novērtējums uz valsts un pašvaldību budžetu” 1.tabulā pie 4.16.pasākuma atsaucē ir norādīts, ka pasākuma “Mājokļu pieejamības uzlabošana grūtībās nonākušiem un nelabvēlīgā situācijā esošiem iedzīvotājiem” īstenošana tiks nodrošināta 4.3.1.3. pasākuma „Sociālo mājokļu atjaunošana vai jaunu sociālo mājokļu būvniecība” ietvaros un nepieciešamo finansējumu Finanšu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 savukārt pie pasākuma norādīta Ekonomikas ministrija. Ņemot vērā minēto, lūdzam precizēt un norādīt ministriju un tās attiecīgo budžeta programmu/apakšprogrammu, kurai finansējums ir vai tiks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 sadaļas “Ietekmes novērtējums uz valsts un pašvaldību budžetu” 1.tabulas 4.15.pasākumam norādīt Ekonomikas ministrijas budžeta programmu/apakšprogrammu, kuras ietvaros ir paredzēts nodrošināt sociālo mājokļu atjaunošanu un jaunu sociālo mājokļu būvniecību, kā arī sniegt informāciju par pasākuma īstenošanai plānotā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25.6.apakšpunktam plāna projekta V.sadaļas "Ietekmes novērtējums uz valsts un pašvaldību budžetu" 2.tabulas 4.5. un 4.20.pasākumam kolonnā "Aprēķins" ir norādāmi detalizēti aprēķini papildus pieprasītajam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svītrot plānā iekļautos ES fondu līdzfinansētos pasākumus/projektus, kas attiecināmi uz ES fondu 2014-2020.gada plānošanas periodu, jo to īstenošana faktiski noslēgusies 2023.gada 31.decembrī. Vienlaikus vēršam uzmanību, ka daži no plāna IV. sadaļā "Pasākumi plāna mērķa sasniegšanai" minētajiem ES fondu 2014.-2020.gada plānošanas periodā īstenotajiem pasākumiem, turpināsies arī 2021.-2027.gada plānošanas periodā, līdz ar to, aicinām, sazinoties ar Izglītības un zinātnes ministriju, aktualizēt plānā norādīto informāciju, papildinot to ar atbilstošiem pasākumu numuriem, nosaukumiem un plānoto finansējuma apjomu/avotu (attiecībā uz finansējumu, aizpildot V. sadaļu "Ietekmes novērtējums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5. sadaļā, 22.lpp.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Plānā   paredzēto   pasākumu   īstenošanai 2025.gadā un turpmāk skatāms Ministru kabinetā gadskārtējā valsts budžeta un vidēja termiņa budžeta ietvara likumprojekta   sagatavošanas   un   izskatīšanas   procesā   kopā   ar   visu   ministriju   un   centrālo   valsts   iestāžu   iesniegtajiem priekšlikumiem prioritārajiem pasākumiem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plāna projekta 4.14.pasākuma "Izpildes termiņu" 2027.gada II pusgads un 61.zemsvītras atsaucē minēto, norādot konkrēti kādu pasākumu īstenošana šeit ir domāta. Vienlaikus lūdzam svītrot no zemsvītras atsauces terminu "darbības programma", jo tas attiecas uz Eiropas Savienības struktūrfondu un Kohēzijas fonda 2014.–2020.gada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pie 4.13.Uzdevums/ Pasākuma norādīto attiecībā uz "74.06.00 „Atveseļošanas un noturības mehānisma (ANM) projekti un pasākumi”", jo 76.zemsvītrā norādītais nav attiecināms nedz uz ANM, nedz 2024.-2027.gadu.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75. un 76.zemsvītras atsauci, jo plāna projekts nosaukums ir "Plāns romu stratēģiskā ietvara pasākumu īstenošanai</w:t>
            </w:r>
            <w:r w:rsidR="00000000" w:rsidRPr="00000000" w:rsidDel="00000000">
              <w:rPr>
                <w:b w:val="1"/>
                <w:rtl w:val="0"/>
              </w:rPr>
              <w:t xml:space="preserve"> 2024.-2027. gadam</w:t>
            </w:r>
            <w:r w:rsidR="00000000" w:rsidRPr="00000000" w:rsidDel="00000000">
              <w:rPr>
                <w:rtl w:val="0"/>
              </w:rPr>
              <w:t xml:space="preserve">", tātad laika periodam 2024.-2027. gads, taču ne viss zemsvītras atsaucē minētais ir attiecināms uz attiecīgo periodu. Tā piemēram, projekta Nr. 7.1.1.0/15/I/001 "Atbalsts bezdarbnieku izglītībai" ieviešanas beigu datums bija 2023.gada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75.zemsvītras atsauce būtu papildināma ar Eiropas Savienības kohēzijas politikas programma 2021.–2027.gadam ietvaros plānoto 4.3.3.1.pasākumu "Bezdarbnieku, darba meklētāju un bezdarba riskam pakļauto personu kvalifikācijas un prasmju paaugstināšana", kura īstenošanu plānots indikatīvi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saīsinājumu sadaļu ar saīsinājumu un tā atšifrējumu “ESF+ – Eiropas Sociālais fonds Plus”. Vienlaikus lūdzam precizēt arī plāna projektu, norādot korektu fonda “Eiropas Sociālais fonds Plus” nosaukumu, jo </w:t>
            </w:r>
            <w:r w:rsidR="00000000" w:rsidRPr="00000000" w:rsidDel="00000000">
              <w:rPr>
                <w:b w:val="1"/>
                <w:rtl w:val="0"/>
              </w:rPr>
              <w:t xml:space="preserve">2021. - 2027.gada plānošanas periodā tas ir Eiropas Sociālais fonds Plus (turpmāk – ESF+)</w:t>
            </w:r>
            <w:r w:rsidR="00000000" w:rsidRPr="00000000" w:rsidDel="00000000">
              <w:rPr>
                <w:rtl w:val="0"/>
              </w:rPr>
              <w:t xml:space="preserve">. Savukārt,</w:t>
            </w:r>
            <w:r w:rsidR="00000000" w:rsidRPr="00000000" w:rsidDel="00000000">
              <w:rPr>
                <w:b w:val="1"/>
                <w:rtl w:val="0"/>
              </w:rPr>
              <w:t xml:space="preserve"> Eiropas Savienības struktūrfondu un Kohēzijas fonda 2014.–2020.gada plānošanas periodā "ESF - Eiropas Sociālais fonds.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(2021.gada 24.jūnija regulu (ES) 2021/1057, ar ko izveido Eiropas Sociālo fondu Plus (ESF+) un atceļ Regulu (ES) Nr.1296/2013 izveido Eiropas Sociālo fondu Plus (ESF+)[1], kas sastāv no divām sadaļām: dalīti pārvaldītās sadaļas (“dalīti pārvaldītā ESF+ sadaļa”) un Nodarbinātības un sociālās inovācijas sadaļas (“EaSI sadaļa)[1].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https://eur-lex.europa.eu/legal-content/LV/TXT/PDF/?uri=CELEX:32021R1060&amp;from=LV%20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11.04.2024.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11.04.2024.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Atzinumi_24-TA-487.docx</dc:title>
</cp:coreProperties>
</file>

<file path=docProps/custom.xml><?xml version="1.0" encoding="utf-8"?>
<Properties xmlns="http://schemas.openxmlformats.org/officeDocument/2006/custom-properties" xmlns:vt="http://schemas.openxmlformats.org/officeDocument/2006/docPropsVTypes"/>
</file>