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sekojošiem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saskata, ka likumprojekts būtu jāskata plašākā kontekstā, kas dotu arī likumam un politikai ilgtspēju – kopsakarībās ar to, kā līdz ar to sekmēt daļas autotransporta pārvadājumu migrāciju uz no SEG emisiju viedokļa klimatam labvēlīgāko dzelzceļu, vienlaikus, plānojot arī paredzamu publisko finansējumu dzelzceļa tālākai elektrificēšanai, vēl vairāk uzlabojot dzelzceļa transporta sniegumu, bet vienlaikus nepasliktinot tā konkurētspēju izmaksu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jautājums, sekmējot elektrificētā transporta attīstību (gan dzelzceļa, gan arī autotransporta jomā) ir sekmēt arī elektrouzlādes infrastruktūras attīstību, kas savukārt jāskata kopsakarībās ar Latvijas energoapgādes sistēmas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