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presi un citiem masu informācijas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 valsts budžetu 2026. gadam un budžeta ietvaru 2026., 2027. un 2028. gadam” jau ir iekļauta līdzekļu pārdale 2026.gadā un 2027.gadā 350 000 </w:t>
            </w:r>
            <w:r w:rsidR="00000000" w:rsidRPr="00000000" w:rsidDel="00000000">
              <w:rPr>
                <w:i w:val="1"/>
                <w:rtl w:val="0"/>
              </w:rPr>
              <w:t xml:space="preserve">euro</w:t>
            </w:r>
            <w:r w:rsidR="00000000" w:rsidRPr="00000000" w:rsidDel="00000000">
              <w:rPr>
                <w:rtl w:val="0"/>
              </w:rPr>
              <w:t xml:space="preserve"> apmērā ik gadu no budžeta resora "47. Radio un televīzijas regulators" valsts budžeta programmas 05.00.00 "Galalietotājiem bez maksas izplatāmo programmu sarakstā iekļauto televīzijas programmu izplatīšana" uz Tieslietu ministrijas valsts budžeta apakšprogrammu 06.01.00 "Juridisko personu reģistrācija", lai nodrošinātu informācijas sistēmas atbilstību Regulas prasībām, kā arī līdzekļu pārdale budžeta resora "47. Radio un televīzijas regulators" ietvaros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apmērā no valsts budžeta programmas 05.00.00 "Galalietotājiem bez maksas izplatāmo programmu sarakstā iekļauto televīzijas programmu izplatīšana" uz valsts budžeta programmu 01.00.00 "Nozares vadība", lai nodrošinātu Regulas prasību ieviešanu. Ņemot vērā minēto, attiecīgi ir precizējama informācija anotācijas III 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10.11.2025.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10.11.2025.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Atzinumi_25-TA-360.docx</dc:title>
</cp:coreProperties>
</file>

<file path=docProps/custom.xml><?xml version="1.0" encoding="utf-8"?>
<Properties xmlns="http://schemas.openxmlformats.org/officeDocument/2006/custom-properties" xmlns:vt="http://schemas.openxmlformats.org/officeDocument/2006/docPropsVTypes"/>
</file>