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termiņu, cik ilgi amatpersonām aprēķinātais atalgojums ir publiskots iestādes tīmekļvietnē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vienveidīgu VPIL 92. panta otrās daļas un MK noteikumu projektu piemērošanu visā valsts pārvaldē, kā arī ņemot vērā interpretācijas iespējas, lūgums precizēt Noteikumu projekta Anotācijas 1.3. apakšpunktu, papildinot skaidrojumu par mērķgrupas tvērumu, t.i., amatpersonu un darbinieku uzskaitījumu, uz kurām attiecas un neattiecas VPIL 92. panta otrajā daļā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Lapiņa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personas datu apstrādi, lūdzam atbilstoši precizēt Anotācijas 8.1.13.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Lapiņa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04.02.2025.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04.02.2025.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Atzinumi_25-TA-194.docx</dc:title>
</cp:coreProperties>
</file>

<file path=docProps/custom.xml><?xml version="1.0" encoding="utf-8"?>
<Properties xmlns="http://schemas.openxmlformats.org/officeDocument/2006/custom-properties" xmlns:vt="http://schemas.openxmlformats.org/officeDocument/2006/docPropsVTypes"/>
</file>