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25-TA-1882)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(FM) ieskatā Korupcijas novēršanas un apkarošanas pasākumu plāna 1. nodaļas 1.8. punkta tvērums ir plašāks par sabiedriskā labuma organizāciju sektoru, kura īpatsvars veido tikai 6,3 % no kopējā nevalstisko organizāciju sektora. Turklāt uzskatām, ka FM šī gada 29. oktobrī izteiktajam priekšlikumam Izziņas 17. punktā, kur lūgts konkretizēt FM lomu un kompetenci minētā punkta pasākumu īstenošanā, nav sniegta pietiekama informācija un argumentācija no Korupcijas novēršanas un apkarošanas biroja (KNAB)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ministrijas (TM) kompetencē ir biedrību un nodibinājumu tiesiskā regulējuma nodrošināšana, kas nostiprināta Biedrību un nodibinājumu likumā. TM nodrošina juridisko pamatu biedrību un nodibinājumu darbībai un reģistrācijai. Turklāt saskaņā ar Nevalstisko organizāciju un Ministru kabineta sadarbības memoranda īstenošanas padomes 2024. gada 27. novembra sēdes protokolu Nr. 9, TM ir jāizstrādā risinājumi attiecībā uz biedrībām un nodibinājumiem, kas neatbilst pašreizējām sektora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FM pārziņā esošo sabiedriskā labuma organizāciju darbību ik gadu detalizēti izvērtē Sabiedriskā labuma komisija un Valsts ieņēmumu dienests, tādējādi nodrošinot sabiedriskā labuma organizāciju darbības caurskatāmību un finanšu atklātību.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par juridiski pamatotu, ka galvenā atbildīgā institūcija par 1.8. punktā noteiktajiem uzdevumiem ir Tieslietu ministrija, kā tas sākotnēji projektā tika paredzēts, bet Finanšu ministrija saglabā līdztbildīgās institūcijas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Vitenburga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projekta 3. rīcības virziena “Korupcijas risku samazināšana publiskajos iepirkumos” sadaļā “Situācijas apraksts” norādīta informācija par aizsardzības budžetu % no IKP 2025. gadā, kas atbilst datiem š.g. precizētajam plānam deviņos mēnešos un šie dati var mainīties līdz 2025. gada beigām, lūdzam pie attiecīgās informācija par aizsardzības budžetu % no IKP 2025. gadā, norādīt atsauci, skaidrojot uz kādu periodu ir norādīti minētie dati, vai arī izvērtēt iespēju šo informāciju plāna projektā nenorādīt.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25.11.2025.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25.11.2025.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