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Āfrikas cūku mēra uzliesmojuma likvidēšanas un draudu novēršanas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Āfrikas cūku mēra uzliesmojuma apkarošanas pasākumus, personu un institūciju kompetenci, cūku dzimtas dzīvnieku pārvadāšanas ierobežojumus, rīcību ar cūku dzimtas dzīvnieku izcelsmes produktiem, cūku dzimtas dzīvnieku izcelsmes blakusproduktiem, tostarp līķiem, skarto objektu un transportlīdzekļu tīrīšanas un dezinfekcijas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Veterinārmedicīnas likuma 26. panta pirmajā daļā ietvertajā pilnvarojumā norādīts arī uz epizootijas uzliesmojumu apkarošanas pasākumu plānošanu, rīkojumu izziņošanas un izpildes reglamentu u.c., kā arī pretēji noteikumu projekta 1. punktā minētajam norādītajā likuma pilnvarojumā nav minēti personu personu pārvietošanās ierobežojumi, rīcība ar cūku dzimtas dzīvnieku izcelsmes blakusproduktiem, objektu tīrīšanas un dezinfekcijas kārtība u.c. Attiecīgi lūdzam atbilstoši precizēt noteikumu projekta 1. punktā ietverto pilnvarojumu, ievērojot Ministru kabineta 2009. gada 3. februāra noteikumu Nr. 108 "Normatīvo aktu projektu sagatavošanas noteikumi" 100.2. apakšpunktā noteikto, nepieciešamības gadījumā svītrojot noteikumu projektā regulējumu, kas neatbilst likumā noteiktajam pilnvarojumam. Ja konkrētu pilnvarojumu nav paredzēts īstenot noteikumu projektā, lūdzam sniegt attiecīgu pamatotu skaidrojumu par attiecīgā pilnvarojuma izpildi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Šos noteikumus piemēro Āfrikas cūku mēra kontroles pasākumu nodrošināšanai papildus prasībām, kas noteiktas Eiropas Savienības tiesību aktos dzīvnieku veselības, veterināro zāļu, pārtikas un dzīvnieku izcelsmes blakusproduktu aprites jomā, tostarp: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 punktā skaidrot, kādi vēl tiesību akti ir domāti ar Eiropas Savienības tiesību aktiem dzīvnieku veselības, veterināro zāļu, pārtikas un dzīvnieku izcelsmes blakusproduktu aprites jomā, nepieciešamības gadījumā svītrojot šajā punktā vārdu "tostarp". Norādām, ka noteikumu projektā pieļaujamas atsauces vienīgi uz tieši piemērojamiem Eiropas Savienības normatīvajiem aktiem (Eiropas Savienības dibināšanas līgumiem un regulām).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Šajos noteikumos lietotie termini atbilst regulā </w:t>
            </w:r>
            <w:r w:rsidR="00000000" w:rsidRPr="00000000" w:rsidDel="00000000">
              <w:rPr>
                <w:rtl w:val="0"/>
              </w:rPr>
              <w:t xml:space="preserve">2016/429</w:t>
            </w:r>
            <w:r w:rsidR="00000000" w:rsidRPr="00000000" w:rsidDel="00000000">
              <w:rPr>
                <w:rtl w:val="0"/>
              </w:rPr>
              <w:t xml:space="preserve">, regulā </w:t>
            </w:r>
            <w:r w:rsidR="00000000" w:rsidRPr="00000000" w:rsidDel="00000000">
              <w:rPr>
                <w:rtl w:val="0"/>
              </w:rPr>
              <w:t xml:space="preserve">2020/687</w:t>
            </w:r>
            <w:r w:rsidR="00000000" w:rsidRPr="00000000" w:rsidDel="00000000">
              <w:rPr>
                <w:rtl w:val="0"/>
              </w:rPr>
              <w:t xml:space="preserve"> un regulā </w:t>
            </w:r>
            <w:r w:rsidR="00000000" w:rsidRPr="00000000" w:rsidDel="00000000">
              <w:rPr>
                <w:rtl w:val="0"/>
              </w:rPr>
              <w:t xml:space="preserve">2023/594</w:t>
            </w:r>
            <w:r w:rsidR="00000000" w:rsidRPr="00000000" w:rsidDel="00000000">
              <w:rPr>
                <w:rtl w:val="0"/>
              </w:rPr>
              <w:t xml:space="preserve"> lietotajiem terminiem.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noteikumu projekta 4. punktu, jo attiecīgajai norādei nav juridiskas slodzes.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Dienests izstrādā un uztur atjauninātu rīcības plānu un – attiecīgā gadījumā – norādījumu rokasgrāmatu saskaņā ar regulas </w:t>
            </w:r>
            <w:r w:rsidR="00000000" w:rsidRPr="00000000" w:rsidDel="00000000">
              <w:rPr>
                <w:rtl w:val="0"/>
              </w:rPr>
              <w:t xml:space="preserve">2016/429</w:t>
            </w:r>
            <w:r w:rsidR="00000000" w:rsidRPr="00000000" w:rsidDel="00000000">
              <w:rPr>
                <w:rtl w:val="0"/>
              </w:rPr>
              <w:t xml:space="preserve"> 43. pantā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Eiropas Parlamenta un Padomes 2016. gada 9. marta Regulas (ES) 2016/429 par pārnēsājamām dzīvnieku slimībām un ar ko groza un atceļ konkrētus aktus dzīvnieku veselības jomā ("Dzīvnieku veselības tiesību akts") (turpmāk – regula Nr. 2016/429)  43. pantā noteiktas prasības Ārkārtas situācijas plāna, nevis rīcības plāna izstrādei, tādēļ lūdzam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ievērojot Eiropas Komisijas pamatnostādnēs par Āfrikas cūku mēra izplatības novēršanas, kontroles un apkarošanas pasākumiem minētos kritērijus un principus cūku mēra reģionalizācijas ģeogrāfiskai noteikšanai, nosaka I, II un III līmeņa ierobežojumu zonu un sniedz informāciju Eiropas Komisijai par I, II un III līmeņa ierobežojumu zonā iekļautajām Latvijas administratīvajām teritorijām.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skaidrot noteikumu projekta 13.3. apakšpunkta minēto Eiropas Komisijas pamatnostādņu par Āfrikas cūku mēra izplatības novēršanas, kontroles un apkarošanas pasākumiem minētos saturu un saistošo spēku attiecībā uz privātpersonām. Nepieciešamības gadījumā lūdzam atsauci uz minētajām pamatnostādnēm noteikumu projekta 13.3.apakšpunktā svītrot, ņemot vērā, ka atbilstoši Latvijas Republikas Satversmes 90. pantam normatīvajā aktā noteikta personas pienākuma saturam ir jābūt nepārprotami skaidram.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17.</w:t>
            </w:r>
            <w:r w:rsidR="00000000" w:rsidRPr="00000000" w:rsidDel="00000000">
              <w:rPr>
                <w:rtl w:val="0"/>
              </w:rPr>
              <w:t xml:space="preserve"> punktā minētos paraugus noņem un nosūta institūtam "BIOR", lai apstiprinātu vai noliegtu Āfrikas cūku mēra ierosinātāja klātbūtni, saskaņā ar dienesta norādījumiem.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18. punktā norādīt tiesību subjektu, kam ir pienākums paraugus noņemt un nosūtīt, nodrošinot skaidras tiesību normas. Kā arī lūdzam noteikumu projekta anotācijā skaidrot dienesta norādījumu pieejamību un saistošo spēku attiecībā uz privātpersonām, nepieciešamības gadījumā noteikumu svītrojot minētajā punktā atsauci uz dienesta norādījumiem.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līdz šo noteikumu 20.2. apakšpunktā minēto laboratorisko rezultātu saņemšanai uzglabā 0 līdz + 7</w:t>
            </w:r>
            <w:r w:rsidR="00000000" w:rsidRPr="00000000" w:rsidDel="00000000">
              <w:rPr>
                <w:vertAlign w:val="superscript"/>
                <w:rtl w:val="0"/>
              </w:rPr>
              <w:t xml:space="preserve">0</w:t>
            </w:r>
            <w:r w:rsidR="00000000" w:rsidRPr="00000000" w:rsidDel="00000000">
              <w:rPr>
                <w:rtl w:val="0"/>
              </w:rPr>
              <w:t xml:space="preserve"> C temperatūrā un atbilstoši normatīvo aktu prasībām medījamo dzīvnieku un to gaļas apritei un piegādei nelielā apjomā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21.2. apakšpunktā nedublēt noteikumu projekta 20.4. apakšpunktā minēto, atbilstoši precizējot minētos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šo noteikumu </w:t>
            </w:r>
            <w:r w:rsidR="00000000" w:rsidRPr="00000000" w:rsidDel="00000000">
              <w:rPr>
                <w:rtl w:val="0"/>
              </w:rPr>
              <w:t xml:space="preserve">21.1.</w:t>
            </w:r>
            <w:r w:rsidR="00000000" w:rsidRPr="00000000" w:rsidDel="00000000">
              <w:rPr>
                <w:rtl w:val="0"/>
              </w:rPr>
              <w:t xml:space="preserve"> apakšpunktā minētā parauga laboratoriskais izmeklējums apstiprina Āfrikas cūku mēra ierosinātāja klātbūtni, mednieks nodrošina nomedītās savvaļas cūkas ķermeņa ar ādu, galvu un tam piederošo orgānu iznīcināšanu saskaņā ar šo noteikumu </w:t>
            </w:r>
            <w:r w:rsidR="00000000" w:rsidRPr="00000000" w:rsidDel="00000000">
              <w:rPr>
                <w:rtl w:val="0"/>
              </w:rPr>
              <w:t xml:space="preserve">38.</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21.1. apakšpunktā nav minēts paraugs laboratoriskam izmeklējumam, tādēļ lūdzam precizēt noteikumu projekta 24. punktā ietverto attiecīgo atsauci,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ir nomedītas vairākas savvaļas cūkas un kādai no tām šo noteikumu </w:t>
            </w:r>
            <w:r w:rsidR="00000000" w:rsidRPr="00000000" w:rsidDel="00000000">
              <w:rPr>
                <w:rtl w:val="0"/>
              </w:rPr>
              <w:t xml:space="preserve">21.1.</w:t>
            </w:r>
            <w:r w:rsidR="00000000" w:rsidRPr="00000000" w:rsidDel="00000000">
              <w:rPr>
                <w:rtl w:val="0"/>
              </w:rPr>
              <w:t xml:space="preserve"> apakšpunktā minētā parauga laboratoriskais izmeklējums apstiprina Āfrikas cūku mēra ierosinātāja klātbūtni, mednieks nodrošina visu nomedīto, ar Āfrikas cūku mēri inficēto ķermeni vai tā orgāniem saskarē nonākušo savvaļas cūku ķermeņu ar ādu, galvu un tiem piederošo orgānu iznīcināšanu saskaņā ar šo noteikumu </w:t>
            </w:r>
            <w:r w:rsidR="00000000" w:rsidRPr="00000000" w:rsidDel="00000000">
              <w:rPr>
                <w:rtl w:val="0"/>
              </w:rPr>
              <w:t xml:space="preserve">38.</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24. un 25. punktā precīzāk noteikt, kas ir domāts ar iznīcināšanu, nepieciešamības gadījumā norādot uz konkrētām noteikumu projekta 38. punktā minētajām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Turēto cūku un savvaļas cūku izcelsmes pārtikā izmantojamo produktu un dzīvnieku izcelsmes blakusproduktu, kā arī dzīvu turēto cūku un to reproduktīvo produktu iegūšanas un pārvietošanas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V nodaļā nav atrodami attiecīgi iegūšanas nosacījumi, tādēļ lūdzam izvērtēt un precizēt minētās nodaļas nosaukumu vai papildināt (precizēt) noteikumu projektu ar atbilstošu regulējumu. Ja noteikumu projektā paredzēts iekļaut attiecīgu regulējumu, lūdzam noteikumu projekta anotācijā skaidrot šāda regulējuma, kas paredz turēto cūku un savvaļas cūku izcelsmes pārtikā izmantojamo produktu un dzīvnieku izcelsmes blakusproduktu, kā arī dzīvu turēto cūku un to reproduktīvo produktu iegūšanas nosacījumus, atbilstību noteikumu projekta izdošanas tiesiskajam pamatam.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pēc pēdējās turētu cūku izcelsmes blakusproduktu iekraušanas transportlīdzeklī dienesta inspektors vai pilnvarots veterinārārsts kautuvē kravu noplombē. Plombu saglabā, līdz krava nonāk atzītā dzīvnieku izcelsmes blakusproduktu pārstrādes vai likvidēšanas uzņēmumā;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32. punkta tālākos apakšpunktos nedublēt 32. punkta ievaddaļā norādīto regulu vienību nosacījumus, atbilstoši precizējot vai svītrojot noteikumu projekta 32.1., 32.2. un 32.3. apakšpunktu. Vēršam uzmanību, ka saskaņā ar Līguma par Eiropas Savienības darbību 288. panta otro daļu "regulas ir vispārpiemērojamas. Tās uzliek saistības kopumā un ir tieši piemērojamas visās dalībvalstīs." Tādēļ ir prettiesiski tādi nacionālie regulas normas īstenošanas mehānismi, kas rada šķēršļus regulas tiešam efektam un apdraud vienlaicīgu un vienādu tās piemērošanu Eiropas Savienībā.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ir izpildīti šo noteikumu </w:t>
            </w:r>
            <w:r w:rsidR="00000000" w:rsidRPr="00000000" w:rsidDel="00000000">
              <w:rPr>
                <w:rtl w:val="0"/>
              </w:rPr>
              <w:t xml:space="preserve">32.</w:t>
            </w:r>
            <w:r w:rsidR="00000000" w:rsidRPr="00000000" w:rsidDel="00000000">
              <w:rPr>
                <w:rtl w:val="0"/>
              </w:rPr>
              <w:t xml:space="preserve"> punktā minētie nosacījumi, satelīta navigācijas sistēmu, kas ļauj noteikt transportlīdzekļa atrašanās vietu, atļauts aizvietot ar transportlīdzekļa individuālu noplombēšanu, lai pārvietotu blakusproduktus ārpus Āfrikas cūku mēra skartajiem objektiem, tostarp objektiem, kas atrodas ierobežojumu zonu teritorijā, ja tās izveidotas saskaņā ar regulas </w:t>
            </w:r>
            <w:r w:rsidR="00000000" w:rsidRPr="00000000" w:rsidDel="00000000">
              <w:rPr>
                <w:rtl w:val="0"/>
              </w:rPr>
              <w:t xml:space="preserve">2020/687</w:t>
            </w:r>
            <w:r w:rsidR="00000000" w:rsidRPr="00000000" w:rsidDel="00000000">
              <w:rPr>
                <w:rtl w:val="0"/>
              </w:rPr>
              <w:t xml:space="preserve"> 21. panta 1. punkta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33. punktā nedublēt noteikumu projekta 32. punkta ievaddaļā ietverto regulējumu, atbilstoši precizējot minētās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 iegūto produkciju izplata tikai Latvijas teritorijā, informāciju par to norādot gan produkcijas marķējumā, gan pavaddokumentos;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anotācijā sniegt ar tiesību normām pamatotu skaidrojumu par noteikumu projekta 35.2. un 35.3. apakšpunktā paredzēto ierobežojumu nepieciešamību un mērķi, kas (jo īpaši 35.2. apakšpunkta gadījumā) būtībā ierobežo preču brīvu apriti. Ja atbilstošu skaidrojumu nav iespējams sniegt, lūdzam svītrot minēto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Regulas </w:t>
            </w:r>
            <w:r w:rsidR="00000000" w:rsidRPr="00000000" w:rsidDel="00000000">
              <w:rPr>
                <w:rtl w:val="0"/>
              </w:rPr>
              <w:t xml:space="preserve">2023/594</w:t>
            </w:r>
            <w:r w:rsidR="00000000" w:rsidRPr="00000000" w:rsidDel="00000000">
              <w:rPr>
                <w:rtl w:val="0"/>
              </w:rPr>
              <w:t xml:space="preserve"> 52. panta 3. punktā noteikto prasību īstenošanai dienests izstrādā norādījumus un sadarbībā ar Valsts meža dienestu izplata tos medību kolektīviem un individuāliem medniekiem. Dienests sagatavotos norādījumus apstiprina ar rīkojumu un publicē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anotācijā skaidrot, kā ar noteikumu projekta 37. punktā minēto norādījumu sagatavošanu tiek nodrošināta attiecīgās regulas prasību īstenošana, nepieciešamības gadījumā precizējot minēto punktu. Norādām, ka minētā regulas norma paredz nosacījumus, kad patogēnu identifikācijas testi nav jāveic, kam vajadzētu būt ietvertiem ārējā normatīvajā aktā, jo minētie nosacījumi pirmšķietami ir vispārēji un vairākkārtēji piemērojami, kā arī skar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noteikumu projekta anotācijā skaidrot noteikumu projekta 37. punktā minēto norādījumu saturu, juridisko dabu (vai minētais dokuments ir administratīvais akts) un saistošo spēku attiecībā uz privātpersonām (medību kolektīviem un individuāliem medniekiem). Ja minētais rīkojums ir administratīvais akts, lūdzam nodrošināt tā paziņošanu atbilstoši Administratīvā procesa likumam un Paziņošanas likumam, atbilstoši precizējot minēto noteikumu projekta punktu, kas paredz norādījumu izplatīšanu, nevis paziņošanu, kā arī sniedzot skaidrojumu par norādījumu paziņošanas kārtību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pārstrādā, piemērojot regulas Nr. </w:t>
            </w:r>
            <w:r w:rsidR="00000000" w:rsidRPr="00000000" w:rsidDel="00000000">
              <w:rPr>
                <w:rtl w:val="0"/>
              </w:rPr>
              <w:t xml:space="preserve">1069/2009</w:t>
            </w:r>
            <w:r w:rsidR="00000000" w:rsidRPr="00000000" w:rsidDel="00000000">
              <w:rPr>
                <w:rtl w:val="0"/>
              </w:rPr>
              <w:t xml:space="preserve"> nosacījumus un Eiropas Komisijas 2011. gada 25. februāra Regulā (ES) Nr. </w:t>
            </w:r>
            <w:r w:rsidR="00000000" w:rsidRPr="00000000" w:rsidDel="00000000">
              <w:rPr>
                <w:rtl w:val="0"/>
              </w:rPr>
              <w:t xml:space="preserve">142/2011</w:t>
            </w:r>
            <w:r w:rsidR="00000000" w:rsidRPr="00000000" w:rsidDel="00000000">
              <w:rPr>
                <w:rtl w:val="0"/>
              </w:rPr>
              <w:t xml:space="preserve">, ar kuru īsteno Eiropas Parlamenta un Padomes Regulu (EK) Nr. </w:t>
            </w:r>
            <w:r w:rsidR="00000000" w:rsidRPr="00000000" w:rsidDel="00000000">
              <w:rPr>
                <w:rtl w:val="0"/>
              </w:rPr>
              <w:t xml:space="preserve">1069/2009</w:t>
            </w:r>
            <w:r w:rsidR="00000000" w:rsidRPr="00000000" w:rsidDel="00000000">
              <w:rPr>
                <w:rtl w:val="0"/>
              </w:rPr>
              <w:t xml:space="preserve">,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(turpmāk – regula Nr. </w:t>
            </w:r>
            <w:r w:rsidR="00000000" w:rsidRPr="00000000" w:rsidDel="00000000">
              <w:rPr>
                <w:rtl w:val="0"/>
              </w:rPr>
              <w:t xml:space="preserve">142/2011</w:t>
            </w:r>
            <w:r w:rsidR="00000000" w:rsidRPr="00000000" w:rsidDel="00000000">
              <w:rPr>
                <w:rtl w:val="0"/>
              </w:rPr>
              <w:t xml:space="preserve">) noteiktās pārstrādes metodes un nosacījumus, lai novērstu slimības ierosinātāja izplatīšanās iespēju;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noteikumu projekta 13.1., 38.1. apakšpunktā, 39. punktā un citos līdzīgos gadījumos norādīt konkrētas attiecīgo regulu vienības (pantus, punktus, apakšpunktus, daļas), tādējādi atvieglojot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42.4. dokumentēt transportlīdzekļa un konteinera tīrīšanas, mazgāšanas un dezinfekcijas pasākumus speciāli iekārtotā transportlīdzekļa dezinfekcijas žurnālā, norādot konkrēto pasākumu īstenošanas datumu, laiku un vietu, pasākumā izmantoto dezinfekcijas līdzekli, izmantotā līdzekļa daudzumu kā arī par īstenotajiem pasākumiem atbildīgo personu;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42.4. apakšpunktā nedublēt regulas Nr. 2016/429 104. panta 1. punktā noteikto, bet nepieciešamības gadījumā norādīt, kāda informācijas attiecīgajos pierakstos jāietver papildus.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2024. gada 17. martam regulas </w:t>
            </w:r>
            <w:r w:rsidR="00000000" w:rsidRPr="00000000" w:rsidDel="00000000">
              <w:rPr>
                <w:rtl w:val="0"/>
              </w:rPr>
              <w:t xml:space="preserve">2023/594</w:t>
            </w:r>
            <w:r w:rsidR="00000000" w:rsidRPr="00000000" w:rsidDel="00000000">
              <w:rPr>
                <w:rtl w:val="0"/>
              </w:rPr>
              <w:t xml:space="preserve"> 44. pantā noteiktajos gadījumos izmanto īpašo rombveida veselības vai identifikācijas marķējumu. Īpašajā rombveida veselības vai identifikācijas marķējumā informāciju izvieto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2023. gada 16. marta Īstenošanas regulas (ES) 2023/594, ar ko nosaka īpašus slimības kontroles pasākumus attiecībā uz Āfrikas cūku mēri un atceļ Īstenošanas regulu (ES) 2021/605 (turpmāk – regula 2023/594) 44. un 47. pantā un noteikumu projektā nav noteikts </w:t>
            </w:r>
            <w:r w:rsidR="00000000" w:rsidRPr="00000000" w:rsidDel="00000000">
              <w:rPr>
                <w:u w:val="single"/>
                <w:rtl w:val="0"/>
              </w:rPr>
              <w:t xml:space="preserve">īpašais</w:t>
            </w:r>
            <w:r w:rsidR="00000000" w:rsidRPr="00000000" w:rsidDel="00000000">
              <w:rPr>
                <w:rtl w:val="0"/>
              </w:rPr>
              <w:t xml:space="preserve"> rombveida veselības vai identifikācijas marķējums, tādēļ ierosinām noteikt minētā marķējuma paraugu vai precizēt noteikumu projektā attiecīgo norādi, piemēram, svītrojot vardu "īpašais" (attiecīgā locījumā). Papildus lūdzam precīzāk noteikt regulas 2023/594 44. panta apakšvienību, kas paredz attiecīgos, noteikumu projekta 43. punktā paredzētos gadījumus. Kā arī lūdzam noteikumu projekta 43. punktā norādīt tiesību subjektu, uz kuru attiecināms konkrētais pienākums, nodrošinot skaidras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Turētu cūku un savvaļas cūku liemeņus marķē ar šo noteikumu </w:t>
            </w:r>
            <w:r w:rsidR="00000000" w:rsidRPr="00000000" w:rsidDel="00000000">
              <w:rPr>
                <w:rtl w:val="0"/>
              </w:rPr>
              <w:t xml:space="preserve">43.</w:t>
            </w:r>
            <w:r w:rsidR="00000000" w:rsidRPr="00000000" w:rsidDel="00000000">
              <w:rPr>
                <w:rtl w:val="0"/>
              </w:rPr>
              <w:t xml:space="preserve"> punktā minēto īpašo rombveida veselības marķējumu, kura malu garums ir vismaz 4,5 centimetri. Ar īpašo rombveida identifikācijas marķējumu, kam noteiktās prasības attiecībā uz marķējuma lielumu var nepiemērot, marķē turētu cūku un savvaļas cūku svaigo gaļu, subproduktus, gaļas izstrādājumus, gaļas produktus un produktus, kas satur cūkgaļu.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noteikumu projekta 44. punkta otro teikumu, skaidri nosakot, kam attiecīgās prasības var nepiemērot un vai ar prasībām attiecībā uz marķējuma lielumu saprotamas prasības attiecībā uz marķējuma malu garumu, nepieciešamības gadījumā precizējot arī citas noteikumu projekta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attiecībā uz marķējuma malu garumu var nepiemērot, marķējot ar īpašo rombveida identifikācijas marķējumu turētu cūku un savvaļas cūku svaigo gaļu, subproduktus, gaļas izstrādājumus, gaļas produktus un produktus, kas satur cūkgaļu."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pilnveidot noteikumu projekta anotācijas 5.4. sadaļas 1. tabulu, nepieciešamības gadījumā precizējot noteikumu projektu.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šobrīd minētās tabulas B aile galvenokārt aizpildīta acīmredzami nekorekti;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nav skaidrs, kā ieviestas vairāku 1. tabulā minēto regulu prasības, tostarp nav skaidrs, kā ieviestas regulas Nr. 2020/687 15. panta 4. punkta un 24.panta 1. punkta prasības, regulas Nr. 2016/429 13., 14., 18.-23., 26., 45., 46. panta, 99., 101., 108., 109. panta un regulas Nr. 2023/594 8. panta 3. punkta un 9. panta 1. punkta prasības,12. panta 2. un 3. punkta, 13. panta, 14. panta prasības, 20. panta pirmā daļa, 26. pants, 21. panta pirmā daļa, 44. pants, 53. panta pirmās daļas prasības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pretēji 1. tabulā norādītajam regulas Nr. 2023/594 55. panta pirmā daļa pirmšķietami nav jāievieš, bet ir tieši piemērojama, turklāt nav skaidrs, kurā noteikumu projekta vienībā minētā norma ir ieviesta, tādēļ nepieciešams sniegt atbilstošu skaidrojumu 1. tabulā vai svītot atsauci uz minēto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nepieciešams norādīt konkrētas Eiropas Komisijas 2011. gada 25. februāra Regulas (ES) Nr. 142/2011, ar kuru īsteno Eiropas Parlamenta un Padomes Regulu (EK) Nr. 1069/2009, ar ko nosaka veselības aizsardzības noteikumus attiecībā uz dzīvnieku izcelsmes blakusproduktiem un atvasinātajiem produktiem, kuri nav paredzēti cilvēku patēriņam, un īsteno Padomes Direktīvu 97/78/EK attiecībā uz dažiem paraugiem un precēm, kam uz robežas neveic veterinārās pārbaudes atbilstīgi minētajai direktīvai, prasības, kuras tiek ieviestas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nepieciešams skaidrot Eiropas Savienības regulu prasību ieviešanu noteikumu projekta 13.1., 38.1. un 38.2.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(precizēt) noteikumu projekta anotācijas 5.4. sadaļas 1. tabulā ietverto informāciju par rīcības brīvības izmantošanu vai neizmantošanu. Norādām, ka arī regulas Nr. 2020/687 16. panta, 22. panta 6. punktā, 23. pantā, 26. panta 5. punktā, 27. panta 2. punktā, Komisijas 2022. gada 28. novembra Deleģētās regulas (ES) 2023/361, ar ko attiecībā uz noteikumiem par noteiktu veterināro zāļu lietošanu noteiktu sarakstā norādītu slimību profilaksei un kontrolei papildina Eiropas Parlamenta un Padomes Regulu (ES) 2016/429 3. panta 1. un 3. punktā, 5. pantā, 13. panta 2. un 4. punktā, 16. pantā, 22. panta 6. punktā, regulas Nr. 2023/594​​​​​​ 13., 14. pantā, 15. panta 3., 4., 5. punktā, 19. panta 5. punktā (proti, nav skaidrs, kā tiek ieviesti 19. panta 5. punkta "b" un "c" apakšpunkta nosacījumi), 22. panta 1. un 3. punktā, 23. panta 1. un 3. punktā, 24. panta 1., 3. un 4. punktā, 25. panta 1. punktā, 28. panta 1. un 2. punktā, 31. - 34. pantā, 35. panta 4. punktā, 38., 39.,41.-44. pantā, 47., 50. pantā, 54. pantā, 56. panta 3. punktā, regulas Nr. 2016/429 14.,  85., 88., 91. pantā, 104. panta 2. punktā, 108. panta 5. punktā, 113. panta 2. punktā, 116. pantā, 133. panta 2. punkta otrajā daļā, 139. pantā, 143., 153., 170., 171. pantā, Eiropas Parlamenta un Padomes 2009. gada 21. oktobra Regulas (EK) Nr. 1069/2009, ar ko nosaka veselības aizsardzības noteikumus attiecībā uz dzīvnieku izcelsmes blakusproduktiem un atvasinātajiem produktiem, kuri nav paredzēti cilvēku patēriņam, un ar ko atceļ Regulu (EK) Nr. 1774/2002 (Dzīvnieku izcelsmes blakusproduktu regula) 19. panta 1. punktā, 23. panta 3. punkta otrajā daļā u.c. 1. tabulā minēto regulu normās paredzēta rīcības brīvība, tādēļ nepieciešams minēto tabulu papildināt ar atbilstošu pamatotu skaidrojumu par rīcības brīvības izmantošanu vai neizmantošanu.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Āfrikas cūku mēris saskaņā ar Komisijas 2018. gada 3. decembra Īstenošanas Regulas (ES) </w:t>
            </w:r>
            <w:r w:rsidR="00000000" w:rsidRPr="00000000" w:rsidDel="00000000">
              <w:rPr>
                <w:rtl w:val="0"/>
              </w:rPr>
              <w:t xml:space="preserve">2018/1882</w:t>
            </w:r>
            <w:r w:rsidR="00000000" w:rsidRPr="00000000" w:rsidDel="00000000">
              <w:rPr>
                <w:rtl w:val="0"/>
              </w:rPr>
              <w:t xml:space="preserve"> par dažu slimību profilakses un kontroles noteikumu piemērošanu attiecībā uz sarakstā norādīto slimību kategorijām un ar ko izveido sarakstu ar sugām un sugu grupām, kas rada sarakstā norādīto slimību ievērojamu izplatības risku, pielikuma 37. ailē noteikto ir A, D un E kategorijas epizootiska rakstura dzīvnieku infekcijas slimība, kas var izraisīt visu cūku dzimtas (</w:t>
            </w:r>
            <w:r w:rsidR="00000000" w:rsidRPr="00000000" w:rsidDel="00000000">
              <w:rPr>
                <w:i w:val="1"/>
                <w:rtl w:val="0"/>
              </w:rPr>
              <w:t xml:space="preserve">Suidae</w:t>
            </w:r>
            <w:r w:rsidR="00000000" w:rsidRPr="00000000" w:rsidDel="00000000">
              <w:rPr>
                <w:rtl w:val="0"/>
              </w:rPr>
              <w:t xml:space="preserve">) dzīvnieku (turpmāk – cūka) saslimšanu.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 punktā nepārrakstīt Komisijas 2018. gada 3. decembra Īstenošanas Regulas (ES) 2018/1882 par dažu slimību profilakses un kontroles noteikumu piemērošanu attiecībā uz sarakstā norādīto slimību kategorijām un ar ko izveido sarakstu ar sugām un sugu grupām, kas rada sarakstā norādīto slimību ievērojamu izplatības risku, pielikuma 37. ailē noteikto, bet tā vietā norādīt, ka termins "Āfrikas cūku mēris" ir saprotams minētās regulas vienības izpratnē.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līdz šo noteikumu 20.2. apakšpunktā minēto laboratorisko rezultātu saņemšanai uzglabā 0 līdz + 7</w:t>
            </w:r>
            <w:r w:rsidR="00000000" w:rsidRPr="00000000" w:rsidDel="00000000">
              <w:rPr>
                <w:vertAlign w:val="superscript"/>
                <w:rtl w:val="0"/>
              </w:rPr>
              <w:t xml:space="preserve">0</w:t>
            </w:r>
            <w:r w:rsidR="00000000" w:rsidRPr="00000000" w:rsidDel="00000000">
              <w:rPr>
                <w:rtl w:val="0"/>
              </w:rPr>
              <w:t xml:space="preserve"> C temperatūrā un atbilstoši normatīvo aktu prasībām medījamo dzīvnieku un to gaļas apritei un piegādei nelielā apjomā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līdz šo noteikumu 20.2. apakšpunktā minēto laboratorisko rezultātu saņemšanai uzglabā to 0 līdz + 70 C temperatūrā un atbilstoši normatīvo aktu prasībām par medījamo dzīvnieku un to gaļas apriti un piegādi nelielā apjomā galapatērētājam."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40.</w:t>
            </w:r>
            <w:r w:rsidR="00000000" w:rsidRPr="00000000" w:rsidDel="00000000">
              <w:rPr>
                <w:rtl w:val="0"/>
              </w:rPr>
              <w:t xml:space="preserve"> punktā minētajā dezinfekcijas žurnālā operators norāda konkrēto pasākumu īstenošanas datumu, laiku un vietu, pasākumā izmantoto dezinfekcijas, deratizācijas un dezinsekcijas līdzekli, izmantotā līdzekļa daudzumu, kā arī par īstenotajiem pasākumiem atbildīgo personu. Objekta dezinfekcijas žurnālu operators glabā trīs gadus pēc pēdējā ieraksta izdarīšanas.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atsaukties uz žurnālu, nekonkretizējot un nenorādot uz dezinfekcijas žurnālu, jo nav skaidrs, kādēļ dezinfekcijas žurnālā norādāmi deratizācijas un dezinsekcijas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Līdz 2024. gada 17. martam regulas </w:t>
            </w:r>
            <w:r w:rsidR="00000000" w:rsidRPr="00000000" w:rsidDel="00000000">
              <w:rPr>
                <w:rtl w:val="0"/>
              </w:rPr>
              <w:t xml:space="preserve">2023/594</w:t>
            </w:r>
            <w:r w:rsidR="00000000" w:rsidRPr="00000000" w:rsidDel="00000000">
              <w:rPr>
                <w:rtl w:val="0"/>
              </w:rPr>
              <w:t xml:space="preserve"> 44. pantā noteiktajos gadījumos izmanto īpašo rombveida veselības vai identifikācijas marķējumu. Īpašajā rombveida veselības vai identifikācijas marķējumā informāciju izvieto šādi: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paredzamo spēkā stāšanās datumu, aicinām izvērtēt lietderību līdz 2024. gada 17. martam paredzēt izmantot īpašo marķējumu un nepieciešamības gadījumā attiecīgo regulējumu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12.03.2024. 23.12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23-TA-748</w:t>
    </w:r>
    <w:r>
      <w:br/>
    </w:r>
    <w:r w:rsidR="00000000" w:rsidRPr="00000000" w:rsidDel="00000000">
      <w:rPr>
        <w:rtl w:val="0"/>
      </w:rPr>
      <w:t xml:space="preserve">Izdrukāts 12.03.2024. 23.12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Atzinumi_23-TA-748.docx</dc:title>
</cp:coreProperties>
</file>

<file path=docProps/custom.xml><?xml version="1.0" encoding="utf-8"?>
<Properties xmlns="http://schemas.openxmlformats.org/officeDocument/2006/custom-properties" xmlns:vt="http://schemas.openxmlformats.org/officeDocument/2006/docPropsVTypes"/>
</file>