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individuālo mācību kontu pieejas attīstību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Informācijas un komunikācijas tehnoloģijas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45.4.3. nodrošinājis mācības vismaz 30 izglītojamajiem pēdējā gada laikā esošās vai līdzvērtīgas izglītības programmas ietvaros;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Izskatot noteikumu projektu, vēlamies vērst uzmanību uz punktu 45.4.3., kura prasības ir nesamērīgas attiecībā pret kopējām prasībām izglītības iestādei.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ievērotu prasību samērīgumu un saskaņotību starp prasībām izglītības iestādei (44.punkts un 45.5.punkts) un prasībām pedagogiem, aicinām punktu 45.4.3. izteikt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“45.4.3. nodrošinājis mācības vismaz 20 izglītojamajiem pēdējo trīs gadu laikā esošās vai līdzvērtīgas izglītības programmas ietvaros;”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Pamatojums: Norādām, ka viens gads ir pārāk īss periods izglītības jomā, lai apliecinātu pedagoga pasniegšanas pieredzi konkrētām kompetenču jomām.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Krilova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22.05.2024.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22.05.2024.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