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darba inspekcijas integrētās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Valsts zemes dienesta šo noteikumu </w:t>
            </w:r>
            <w:r w:rsidR="00000000" w:rsidRPr="00000000" w:rsidDel="00000000">
              <w:rPr>
                <w:rtl w:val="0"/>
              </w:rPr>
              <w:t xml:space="preserve">7.3.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9.2.2.</w:t>
            </w:r>
            <w:r w:rsidR="00000000" w:rsidRPr="00000000" w:rsidDel="00000000">
              <w:rPr>
                <w:rtl w:val="0"/>
              </w:rPr>
              <w:t xml:space="preserve"> apakšpunktā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22.4. apakšpunktu izteikt šādā redakcijā "Valsts zemes dienesta Valsts adrešu reģistra informācijas sistēmas šo noteikumu 7.3. un 9.2.2. apakšpunktā minētos atvērtos datus, kas publicēti Latvijas Atvērto datu portālā." Kā jau norādījām iepriekšējā iebildumā - Valsts darba inspekcijai tās funkciju un uzdevumu izpildes nodrošināšanai nepieciešamie Adrešu reģistra dati ir jāiegūst no Latvijas Atvērto datu portāla, kas nozīmē to, ka šos datus Valsts zemes dienests nesniegs Valsts darba inspekcijai, bet Valsts darba inspekcija tos iegūs pati.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22.Informācijas sistēmā iekļaujamos datus iegūst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Valsts zemes dienesta Valsts adrešu reģistra informācijas sistēmas šo noteikumu 7.3. un 9.2.2. apakšpunktā minētos atvērtos datus, kas publicēti Latvijas Atvērto datu portālā.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Rudzīte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Tiesības bez maksas saņemt ziņas no informācijas sistēmas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Valsts pārvaldes iekārtas likuma 55.panta otrajā daļā un 54.panta trešajā daļā noteikto un likuma pilnvarojumā noteikto, ka nosakāma datu apstrādes kārtība (tātad procesuālās normas), proti, nedublēt tiesību normas par iestāžu tiesībām saņemt informāciju bez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fiziskām personām – par sevi un savā aizgādībā, aizgādnībā vai aizbildnībā esošu 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tādu tiesību normu ietveršanu projektā, kas jau ir noteiktas Eiropas Parlamenta un Padomes 2016. gada 27. aprīļa Regulā (ES) 2016/679 par fizisku personu datu aizsardzību attiecībā uz personas datu apstrādi un šādu datu brīvu apriti un ar ko atceļ Direktīvu 95/46/EK (turpmāk – Datu regula), lūdzam pārskatīt projekta saturu, aktualitāti un atbilstību spēkā esošajiem tiesību aktiem un atbilstoši precizēt projektu kopumā.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Datu regulas 15.pantā noteiktajam datu subjektam ir tiesības saņemt no pārziņa apstiprinājumu par to, vai attiecībā uz datu subjektu tiek vai netiek apstrādāti personas dati, un, ja tiek, datu subjektam ir tiesības piekļūt attiecīgajiem datiem un saņemt Datu regulas 15.panta 1. un 2.punktā noteikto informāciju. Vēršam uzmanību, ka Datu regula ir </w:t>
            </w:r>
            <w:r w:rsidR="00000000" w:rsidRPr="00000000" w:rsidDel="00000000">
              <w:rPr>
                <w:u w:val="single"/>
                <w:rtl w:val="0"/>
              </w:rPr>
              <w:t xml:space="preserve">tieši piemērojama</w:t>
            </w:r>
            <w:r w:rsidR="00000000" w:rsidRPr="00000000" w:rsidDel="00000000">
              <w:rPr>
                <w:rtl w:val="0"/>
              </w:rPr>
              <w:t xml:space="preserve"> un datu subjekta piekļuves tiesības jau noteic Datu regulas 15.pants, no kā saprotams, ka nacionālajā normatīvajā aktā nav nepieciešams atkārtoti tās noteikt. Skaidrojam, ka nacionālajā normatīvajā aktā var noteikt tikai kārtību, kādā var tikt realizētas šīs tiesības, līdz ar to </w:t>
            </w:r>
            <w:r w:rsidR="00000000" w:rsidRPr="00000000" w:rsidDel="00000000">
              <w:rPr>
                <w:u w:val="single"/>
                <w:rtl w:val="0"/>
              </w:rPr>
              <w:t xml:space="preserve">aicinām izslēgt projekta 23.1.apakšpunktu.</w:t>
            </w:r>
            <w:r w:rsidR="00000000" w:rsidRPr="00000000" w:rsidDel="00000000">
              <w:rPr>
                <w:rtl w:val="0"/>
              </w:rPr>
              <w:t xml:space="preserve"> Vienlaikus šajā kontekstā īpaši uzsveram, ka, ja projektā tiek saglabātas normas, kas pēc būtības dublē Datu regulā ietverto regulējumu, tad pastāv Datu regulas normu pārinterpretācijas risks, kā arī tiek apdraudēta Datu regulas tiešā piemērošana, kas ir pretrunā Līguma par Eiropas Savienības darbību 288.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no Tieslietu ministrijas Nozaru politikas departamenta)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6.3.2.9. pārstāvju saraksts, ja juridiskā persona ir ārvalsts komersants vai organizācija;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Paredzēta šajā apakšpunktā noteikto ziņu saņemšana no Uzņēmumu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šajā punktā noteikto ir paredzētas ziņas par personām, kuras pilnvarotas pārstāvēt dalībvalsts kapitālsabiedrību darbībās, kas saistītas ar filiāli, tad par šā punkta iekļaušanu nav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Uzņēmumu reģistrā netiek apstrādātas citas ziņas par ārvalsts komersantu vai organizāciju pārstāvjiem, līdz ar to šādu ziņu sniegšana no Uzņēmumu reģistra nav iespējama un līdz ar to regulējumā nav iekļaujama.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30.11.2023. 19.41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30.11.2023. 19.41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Atzinumi_23-TA-2265.docx</dc:title>
</cp:coreProperties>
</file>

<file path=docProps/custom.xml><?xml version="1.0" encoding="utf-8"?>
<Properties xmlns="http://schemas.openxmlformats.org/officeDocument/2006/custom-properties" xmlns:vt="http://schemas.openxmlformats.org/officeDocument/2006/docPropsVTypes"/>
</file>