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Rēzeknes Tehnoloģiju akadēmijas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(RTA padomes iesniegums par RTA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(RTA padomes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informācija_Atbrīvošanas aleja 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(Kadastrs_Galdnieku 8A)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(Kadastrs_Atbrīvošanas aleja 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(Kadastrs_Atbrīvošanas aleja 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(Kadastrs_Maskavas 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(Kadastrs_Maskavas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(Kadastrs_Pils iela 23A)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(ZG_Atbrīvošanas aleja 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(ZG_Atbrīvošanas aleja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(ZG_Atbrīvošanas aleja 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(ZG_Galdnieku 8A)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(ZG_Maskavas 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(ZG_Maskavas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(ZG_Pils iela 23A)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(FM atļauja atsavināt 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(AIP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(RTU viedoklis)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Rēzeknes Tehnoloģiju akadēmijas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rīkojuma projektu ar punktu, kurš paredz Rīgas Tehniskajai Universitātei pienākumu nostiprināt zemesgrāmatā attiecīgos nekustamos īpašumus uz Rīgas Tehniskās universitātes vārda, izvērtējot katra nekustamā īpašuma gadījumu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informāciju, kādiem mērķiem vai kādu funkciju izpildei nekustamais īpašums tiek nodots (skatīt 2019.gada 6.jūnija rīkojumu Nr.251).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apakšpunkta pēdējās rindkopas sākuma teksta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2019.gada 6.jūnija rīkojumu Nr.251 Rēzeknes Tehnoloģiju augstskolai tika nodoti pieci valsts nekustamie īpašumi. Rīkojuma projektā pie reorganizācijas tiek pārņemti/nodoti septiņi īpašumi. L</w:t>
            </w:r>
            <w:r w:rsidR="00000000" w:rsidRPr="00000000" w:rsidDel="00000000">
              <w:rPr>
                <w:u w:val="single"/>
                <w:rtl w:val="0"/>
              </w:rPr>
              <w:t xml:space="preserve">ū</w:t>
            </w:r>
            <w:r w:rsidR="00000000" w:rsidRPr="00000000" w:rsidDel="00000000">
              <w:rPr>
                <w:rtl w:val="0"/>
              </w:rPr>
              <w:t xml:space="preserve">gums vērtēt, vai uz tiem visiem attiecas atpakaļ došanas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2.9. apakšpunkts nosaka pārņemt Rīgas Tehniskās universitātes īpašumā Rēzeknes Tehnoloģiju akadēmijas nekustamos īpašumus. No minētā secināms, ka īpašuma tiesības uz 2.9.apakšpunktā norādītajiem nekustamajiem īpašumiem tiks nostiprinātas zemesgrāmatā uz Rīgas Tehniskās universitātes vārda. Anotācijā skaidrots, ka Rīgas Tehniskā universitāte nekustamos īpašumus turpinās izmantot izglītības funkcijas nodrošināšanai un tai būs saistošs nekustamo īpašumu atpakaļatdošanas valstij pienākums gadījumā, ja nekustamie īpašumi vairs netiks izmantoti minētās funkcijas nodrošināšanai, kā arī zemesgrāmatās reģistrētie aizliegumi rīcībā ar nekustamajiem īpašumiem. Lūdzam izvērtēt nepieciešamību minētos pienākumus (nekustamo īpašumu atpakaļdošanas pienākumu valstij, aizlieguma atzīmes ierakstīšanu zemesgrāmatā) norādīt arī rīkojuma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visiem no rīkojuma projekta 2.9.apakšpunktā norādītajiem īpašumiem ir nosakāms atpakaļdošanas pienākums valstij (piem., īpašuma tiesību uz dzīvokļa nekustamo īpašumu  (kadastra Nr. 2100 900 7185) Maskavas ielā 9/2 – 23, Rēzeknē,  ierakstīšanai zemesgrāmatā kā pamats norādīts 2002. gada 26. februāra līgums nr. 723, zemesgrāmatas nodalījumā attiecībā par šo NĪ nav norādīts atpakaļdošanas pienākums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projekta 5.punktā norādīto, ka no Izglītības un zinātnes ministrijas budžeta programmas 03.00.00 "Augstākā izglītība" apakšprogrammā 03.01.00 "Augstskolas" paredzētajiem līdzekļiem tiek segti arī ar Austrumlatvijas Tehnoloģiju vidusskolas reorganizāciju saistītie izdevumi, lūdzam attiecīgi papildināt anotācijas 3.sadaļas apakšsadaļas "Cita informācija" pirmo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22-TA-3515</w:t>
    </w:r>
    <w:r>
      <w:br/>
    </w:r>
    <w:r w:rsidR="00000000" w:rsidRPr="00000000" w:rsidDel="00000000">
      <w:rPr>
        <w:rtl w:val="0"/>
      </w:rPr>
      <w:t xml:space="preserve">Izdrukāts 13.02.2023.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22-TA-3515</w:t>
    </w:r>
    <w:r>
      <w:br/>
    </w:r>
    <w:r w:rsidR="00000000" w:rsidRPr="00000000" w:rsidDel="00000000">
      <w:rPr>
        <w:rtl w:val="0"/>
      </w:rPr>
      <w:t xml:space="preserve">Izdrukāts 13.02.2023.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Atzinumi_22-TA-3515.docx</dc:title>
</cp:coreProperties>
</file>

<file path=docProps/custom.xml><?xml version="1.0" encoding="utf-8"?>
<Properties xmlns="http://schemas.openxmlformats.org/officeDocument/2006/custom-properties" xmlns:vt="http://schemas.openxmlformats.org/officeDocument/2006/docPropsVTypes"/>
</file>