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iekļautas administratīvās un atbilstības prasības gan fiziskām un juridiskām personām, ir nepieciešams veikt administratīvo izmaksu novērtējumu mērķa grupām, kā arī atbilstības izmaksu novērtējumu. Valsts kancelejas ieskatā ir vērtējama noteikumu projekta 3. sadaļa un 6. sadaļa, kā arī 31., 33., 36., 40., 42., 44.3., 46., 49.,51., 53., 57., 67. punkts un 55.3., 73.2.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04.12.2025.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04.12.2025.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