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pie fiziskām un juridiskām personām ir jānorāda mērķa grupa, kuru ietekmē izstrādātais tiesību akts, savukārt apakšsadaļā "Ietekmes apraksts" ir nepieciešams lakoniski aprakstīt, kā tieši mērķa grupu ietekmē tiesību akts.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no "Ietekmes apraksta" svītrot mērķa grupas uzskaitījumu un tā vietā aprakstīt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informācija par valsts un pašvaldību institūcijām, kā arī ietekme uz tām ir notādāma anotācijas 7.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norādīts, ka plānota publiskā apspriešana, lūdzam atbilstoši aizpildīt šo anotācijas sadaļu, norādot saiti uz sabiedrības līdzdalību, kā arī sniedzot pārskatu par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7., 10.,un 14. - 17. punktu tiek grozīti vai papildināti Ministru kabineta 2025. gada 6. maija noteikumu Nr. 277 "Kārtība, kādā nodrošina prioritāru publisku pakalpojumu sniegšanu komersantiem" punkti, kuros ir iekļautas informācijas sniegšanas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veikt tiesību aktā ietverto informācijas sniegšanas pienākumu izvērtējumu un atbilstoši izvērtējuma rezultātiem sagatavot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ja tiek konstatēta ietekme, jāveic administratīvo izmaksu monetārais novērtējums saskaņā ar Ministru kabineta 2021. gada 7. septembra noteikumu Nr. 617 “Tiesību akta projekta sākotnējās ietekmes izvērtēšanas kārtība” (turpmāk – noteikumi Nr. 617)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nepieciešams skaidri noteikt informācijas sniegšanas metodi un veicamās darbības, proti – kā tieši informācija ir sagatavojama un iesniedzama (piemēram, iesnieguma sagatavošanas laiks, papildus iegūstamās informācijas apjoms un veids, iesnieguma nosūtīšanas veids – e-pasts, sistēma, vēstule u.c.). Pēc tam ir jānosaka noteikumos Nr. 617 ietvertās formulas parametru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aprēķinu veikšanu, Valsts kanceleja aicina izmantot Vadlīnijās tiesību akta sākotnējās ietekmes novērtēšanai un novērtējuma ziņojuma sagatavošanai vienotajā TAP portālā (turpmāk - vadlīnijas) (pieejamas Ministru kabineta tīmekļvietnē: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vadlīnijās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informāciju par iestādes funkciju un uzdevumu izmaiņām, lūdzu precizēt, kādas tieši izmaiņas iestādes funkcijās vai uzdevumos ir paredzētas. Savukārt, ja iestādei tiek samazināts administratīvais slogs, šī informācija norādāma anotācijas 7.3. apakšpunktā, kas šobrīd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03.11.2025.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03.11.2025.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