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Sabiedrības veselības centram pielikumā norādīto valsts kustamo mantu - medicīniskās ierīces (kopējā bilances vērtība 312 251,63 euro), par nodošanu noformējot un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25.jūlija noteikumu Nr.618 “Kārtība, kādā valsts kustamo mantu nodod bez atlīdzības ārvalstu valdību un starpvalstu organizāciju īpašumā” 6.punktu valsts kustamo mantu nodod bez atlīdzības, slēdzot rakstisku līgumu, ja atsavināmās valsts kustamās mantas kopējā vērtība saskaņā ar grāmatvedības uzskaites datiem pārsniedz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minēto Ministru kabineta noteikumu 7.punktu, ja valsts kustamo mantu nodod bez atlīdzības ārvalsts valdības vai starpvalstu organizācijas īpašumā, pamatojoties uz rakstisku līgumu, attiecīgā ministrija kopā ar informatīvo ziņojumu par nododamo valsts kustamo mantu iesniedz Ministru kabinetā arī sagatavotu līguma projektu un pilnvaras projektu līguma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rīkojumam Ukrainas Veselības ministrijas Sabiedrības veselības centram paredzēts nodot valsts kustamo mantu ar kopējo bilances vērtību 312 251,63 euro apmērā, uzturam Finanšu ministrijas 2022.gada 15.decembra atzinumā izteikto iebildumu un atkārtoti lūdzam ievērot Ministru kabineta noteikto kārtību un attiecīgi precizēt Ministru kabineta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praksē ir gadījumi, kad valsts kustamā manta, kuras bilances vērtība pārsniedz 1000 </w:t>
            </w:r>
            <w:r w:rsidR="00000000" w:rsidRPr="00000000" w:rsidDel="00000000">
              <w:rPr>
                <w:i w:val="1"/>
                <w:rtl w:val="0"/>
              </w:rPr>
              <w:t xml:space="preserve">euro</w:t>
            </w:r>
            <w:r w:rsidR="00000000" w:rsidRPr="00000000" w:rsidDel="00000000">
              <w:rPr>
                <w:rtl w:val="0"/>
              </w:rPr>
              <w:t xml:space="preserve">, ir nodota Ukrainai, slēdzot rakstisku līgumu (sk.piemēram, Ministru kabineta 2022.gada 21.decembra rīkojumu Nr.961 "Par valsts kustamās mantas nodošanu bez atlīdzības Ukrainai" (22-TA-2902, 22-TA-2907)), tādējādi nav saprotams kādi ir konkrētā gadījuma apstākļi, kuru dēļ nav iespējams sagatavot un noslēgt rakstisku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10.01.2023.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10.01.2023.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Atzinumi_22-TA-3687.docx</dc:title>
</cp:coreProperties>
</file>

<file path=docProps/custom.xml><?xml version="1.0" encoding="utf-8"?>
<Properties xmlns="http://schemas.openxmlformats.org/officeDocument/2006/custom-properties" xmlns:vt="http://schemas.openxmlformats.org/officeDocument/2006/docPropsVTypes"/>
</file>