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3. februāra noteikumos Nr. 58 "Noteikumi par civiltiesiskās atbildības obligāto apdrošināšanu apsardzes darbībā"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civiltiesiskās atbildības apdrošināšanas kārtību un civiltiesiskās atbildības apdrošināšanas limitu (turpmāk – apdrošināšanas limits) apsardzes komersantam, kas reģistrēts Apsardzes darbības reģistrā (turpmāk – reģistrs) fiziskās apsardzes, tehniskās apsardzes vai inkasācijas apsardzes pakalpojumu sniegšanai (turpmāk – apsardzes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dažādu normas interpretāciju un panāktu vienotu izpratni, aicinām MK noteikumos noteikt, ka MK noteikumi nosaka civiltiesiskās atbildības apdrošināšanas minimālo atbildības limitu. Šādu viedokli 12.10.2023. vēstulē LAA ir paudusi arī Iekšlietu ministrija, norādot, ka  “</w:t>
            </w:r>
            <w:r w:rsidR="00000000" w:rsidRPr="00000000" w:rsidDel="00000000">
              <w:rPr>
                <w:i w:val="1"/>
                <w:rtl w:val="0"/>
              </w:rPr>
              <w:t xml:space="preserve">Saskaņā ar Noteikumu 8.punktu apdrošināšanas limits par apdrošināšanas periodu ir vismaz 10 procenti no apsardzes komersanta gada apgrozījuma, bet ne mazāks par 142 200 euro gadā. Noteikumu 13.punkts noteic apsardzes komersanta pienākumu triju darbdienu laikā pēc apdrošināšanas atlīdzības izmaksas atjaunot apdrošināšanas limitu.</w:t>
            </w:r>
            <w:r w:rsidR="00000000" w:rsidRPr="00000000" w:rsidDel="00000000">
              <w:rPr>
                <w:i w:val="1"/>
                <w:rtl w:val="0"/>
              </w:rPr>
              <w:t xml:space="preserve">Ņemot vērā, ka noteiktais apdrošināšanas limits ir jāuztur visa attiecīgā perioda laikā un pēc katra apdrošināšanas gadījuma jāatjauno noteiktajā apjomā, uzskatāms, ka noteiktais apdrošināšanas limits ir limits katram apdrošināšanas gadījumam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civiltiesiskās atbildības apdrošināšanas kārtību un civiltiesiskās atbildības apdrošināšanas minimālo atbildības limitu (turpmāk – apdrošināšanas limits) apsardzes komersantam, kas reģistrēts Apsardzes darbības reģistrā (turpmāk – reģistrs) fiziskās apsardzes, tehniskās apsardzes vai inkasācijas apsardzes pakalpojumu sniegšanai (turpmāk – apsardzes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Apdrošināšanas limits par apdrošināšanas periodu ir vismaz 10 procenti no apsardzes komersanta gada apgrozījuma, bet ne mazāks par 142 200 </w:t>
            </w:r>
            <w:r w:rsidR="00000000" w:rsidRPr="00000000" w:rsidDel="00000000">
              <w:rPr>
                <w:i w:val="1"/>
                <w:rtl w:val="0"/>
              </w:rPr>
              <w:t xml:space="preserve">euro</w:t>
            </w:r>
            <w:r w:rsidR="00000000" w:rsidRPr="00000000" w:rsidDel="00000000">
              <w:rPr>
                <w:rtl w:val="0"/>
              </w:rPr>
              <w:t xml:space="preserve">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normatīvajos aktos noteiktie atbildības limiti netiek regulāri pārskatīti, veidojās situācija, ka ar laiku tie neatbilst aktuālajai ekonomiskajai situācijai, jo ir neelastīgi. Līdz ar to aicinām šobrīd noteikto apdrošināšanas limitu 142 200 euro  piesaistīt Latvijā regulāri indeksējamam ekonomiskam lielumam – minimālajai mēneša darba algai, nosakot , ka apdrošināšanas limits ir 205 minimālās mēneša darba algas. Konkrētais limits nav pārskatīts kopš MK noteikumu pieņemšanas un tas ir spēkā no 2015.gada.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minimālai algai apdrošināšanas limits ir pielīdzināts vairākos spēkā esošos normatīvos aktos. Piemēram, MK 08.09.2008.noteikumos Nr.723 “Noteikumi par prasībām kompetentām institūcijām un kompetentiem speciālistiem darba aizsardzības jautājumos un kompetences novērtēšanas kārtību”, MK 03.12.2013. noteikumos Nr.1376 “Kārtība, kādā izveido paziņošanas komisiju, kā arī kārtība, kādā komisija pieņem lēmumu un paziņo Eiropas Komisijai par atbilstības novērtēšanas institūcijām, kas veic atbilstības novērtēšanu reglamentētajā sfērā”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Apdrošināšanas limits ir vismaz 10 procenti no apsardzes komersanta gada apgrozījuma, bet ne mazāk kā 205 Latvijā noteiktās minimālās mēneša darba algas par vienu apdrošināšanas gadījumu un apdrošināšanas periodā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23-TA-1786</w:t>
    </w:r>
    <w:r>
      <w:br/>
    </w:r>
    <w:r w:rsidR="00000000" w:rsidRPr="00000000" w:rsidDel="00000000">
      <w:rPr>
        <w:rtl w:val="0"/>
      </w:rPr>
      <w:t xml:space="preserve">Izdrukāts 20.02.2024.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23-TA-1786</w:t>
    </w:r>
    <w:r>
      <w:br/>
    </w:r>
    <w:r w:rsidR="00000000" w:rsidRPr="00000000" w:rsidDel="00000000">
      <w:rPr>
        <w:rtl w:val="0"/>
      </w:rPr>
      <w:t xml:space="preserve">Izdrukāts 20.02.2024.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Atzinumi_23-TA-1786.docx</dc:title>
</cp:coreProperties>
</file>

<file path=docProps/custom.xml><?xml version="1.0" encoding="utf-8"?>
<Properties xmlns="http://schemas.openxmlformats.org/officeDocument/2006/custom-properties" xmlns:vt="http://schemas.openxmlformats.org/officeDocument/2006/docPropsVTypes"/>
</file>