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397FD7" w14:textId="77777777" w:rsidR="002D6B4E" w:rsidRDefault="002D6B4E" w:rsidP="002D6B4E">
      <w:pPr>
        <w:rPr>
          <w:rFonts w:eastAsia="Times New Roman"/>
          <w:lang w:val="en-US" w:eastAsia="lv-LV"/>
        </w:rPr>
      </w:pPr>
      <w:r>
        <w:rPr>
          <w:rFonts w:eastAsia="Times New Roman"/>
          <w:b/>
          <w:bCs/>
          <w:lang w:val="en-US" w:eastAsia="lv-LV"/>
        </w:rPr>
        <w:t>From:</w:t>
      </w:r>
      <w:r>
        <w:rPr>
          <w:rFonts w:eastAsia="Times New Roman"/>
          <w:lang w:val="en-US" w:eastAsia="lv-LV"/>
        </w:rPr>
        <w:t xml:space="preserve"> Andra </w:t>
      </w:r>
      <w:proofErr w:type="spellStart"/>
      <w:r>
        <w:rPr>
          <w:rFonts w:eastAsia="Times New Roman"/>
          <w:lang w:val="en-US" w:eastAsia="lv-LV"/>
        </w:rPr>
        <w:t>Reinfelde</w:t>
      </w:r>
      <w:proofErr w:type="spellEnd"/>
      <w:r>
        <w:rPr>
          <w:rFonts w:eastAsia="Times New Roman"/>
          <w:lang w:val="en-US" w:eastAsia="lv-LV"/>
        </w:rPr>
        <w:t xml:space="preserve"> &lt;Andra.Reinfelde@TM.GOV.LV&gt;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w:t>
      </w:r>
      <w:proofErr w:type="spellStart"/>
      <w:r>
        <w:rPr>
          <w:rFonts w:eastAsia="Times New Roman"/>
          <w:lang w:val="en-US" w:eastAsia="lv-LV"/>
        </w:rPr>
        <w:t>piektdiena</w:t>
      </w:r>
      <w:proofErr w:type="spellEnd"/>
      <w:r>
        <w:rPr>
          <w:rFonts w:eastAsia="Times New Roman"/>
          <w:lang w:val="en-US" w:eastAsia="lv-LV"/>
        </w:rPr>
        <w:t xml:space="preserve">, 2021. </w:t>
      </w:r>
      <w:proofErr w:type="spellStart"/>
      <w:r>
        <w:rPr>
          <w:rFonts w:eastAsia="Times New Roman"/>
          <w:lang w:val="en-US" w:eastAsia="lv-LV"/>
        </w:rPr>
        <w:t>gada</w:t>
      </w:r>
      <w:proofErr w:type="spellEnd"/>
      <w:r>
        <w:rPr>
          <w:rFonts w:eastAsia="Times New Roman"/>
          <w:lang w:val="en-US" w:eastAsia="lv-LV"/>
        </w:rPr>
        <w:t xml:space="preserve"> 26. marts 15:17</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 Helēna Rimša &lt;Helena.Rimsa@em.gov.lv&gt;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Sandis Vilcāns &lt;Sandis.Vilcans@tm.gov.lv&gt;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RE: TAP VSS-1102 </w:t>
      </w:r>
      <w:proofErr w:type="spellStart"/>
      <w:r>
        <w:rPr>
          <w:rFonts w:eastAsia="Times New Roman"/>
          <w:lang w:val="en-US" w:eastAsia="lv-LV"/>
        </w:rPr>
        <w:t>elektroniska</w:t>
      </w:r>
      <w:proofErr w:type="spellEnd"/>
      <w:r>
        <w:rPr>
          <w:rFonts w:eastAsia="Times New Roman"/>
          <w:lang w:val="en-US" w:eastAsia="lv-LV"/>
        </w:rPr>
        <w:t xml:space="preserve"> </w:t>
      </w:r>
      <w:proofErr w:type="spellStart"/>
      <w:r>
        <w:rPr>
          <w:rFonts w:eastAsia="Times New Roman"/>
          <w:lang w:val="en-US" w:eastAsia="lv-LV"/>
        </w:rPr>
        <w:t>saskanoana</w:t>
      </w:r>
      <w:proofErr w:type="spellEnd"/>
    </w:p>
    <w:p w14:paraId="3FEA2FC6" w14:textId="77777777" w:rsidR="002D6B4E" w:rsidRDefault="002D6B4E" w:rsidP="002D6B4E"/>
    <w:p w14:paraId="6F623E6C" w14:textId="77777777" w:rsidR="002D6B4E" w:rsidRDefault="002D6B4E" w:rsidP="002D6B4E">
      <w:pPr>
        <w:ind w:firstLine="720"/>
        <w:jc w:val="both"/>
        <w:rPr>
          <w:rFonts w:ascii="Times New Roman" w:hAnsi="Times New Roman" w:cs="Times New Roman"/>
        </w:rPr>
      </w:pPr>
      <w:r>
        <w:rPr>
          <w:rFonts w:ascii="Times New Roman" w:hAnsi="Times New Roman" w:cs="Times New Roman"/>
        </w:rPr>
        <w:t>Labdien!</w:t>
      </w:r>
    </w:p>
    <w:p w14:paraId="2701B656" w14:textId="77777777" w:rsidR="002D6B4E" w:rsidRDefault="002D6B4E" w:rsidP="002D6B4E">
      <w:pPr>
        <w:ind w:firstLine="720"/>
        <w:jc w:val="both"/>
        <w:rPr>
          <w:rFonts w:ascii="Times New Roman" w:hAnsi="Times New Roman" w:cs="Times New Roman"/>
        </w:rPr>
      </w:pPr>
    </w:p>
    <w:p w14:paraId="07BCD9E3" w14:textId="77777777" w:rsidR="002D6B4E" w:rsidRDefault="002D6B4E" w:rsidP="002D6B4E">
      <w:pPr>
        <w:ind w:firstLine="720"/>
        <w:jc w:val="both"/>
        <w:rPr>
          <w:rFonts w:ascii="Times New Roman" w:hAnsi="Times New Roman" w:cs="Times New Roman"/>
          <w:sz w:val="24"/>
          <w:szCs w:val="24"/>
        </w:rPr>
      </w:pPr>
      <w:r>
        <w:rPr>
          <w:rFonts w:ascii="Times New Roman" w:hAnsi="Times New Roman" w:cs="Times New Roman"/>
        </w:rPr>
        <w:t xml:space="preserve">Tieslietu ministrija ir izskatījusi Ekonomikas ministrijas sagatavoto precizēto likumprojektu "Transporta enerģijas likums" (turpmāk – projekts) un atbalsta tā tālāku virzību, izsakot šādus </w:t>
      </w:r>
      <w:r>
        <w:rPr>
          <w:rFonts w:ascii="Times New Roman" w:hAnsi="Times New Roman" w:cs="Times New Roman"/>
          <w:b/>
          <w:bCs/>
        </w:rPr>
        <w:t>iebildumus</w:t>
      </w:r>
      <w:r>
        <w:rPr>
          <w:rFonts w:ascii="Times New Roman" w:hAnsi="Times New Roman" w:cs="Times New Roman"/>
        </w:rPr>
        <w:t>:</w:t>
      </w:r>
    </w:p>
    <w:p w14:paraId="72FF885E" w14:textId="77777777" w:rsidR="002D6B4E" w:rsidRDefault="002D6B4E" w:rsidP="002D6B4E">
      <w:pPr>
        <w:ind w:firstLine="720"/>
        <w:jc w:val="both"/>
        <w:rPr>
          <w:rFonts w:ascii="Times New Roman" w:hAnsi="Times New Roman" w:cs="Times New Roman"/>
        </w:rPr>
      </w:pPr>
    </w:p>
    <w:p w14:paraId="501F731C" w14:textId="77777777" w:rsidR="002D6B4E" w:rsidRDefault="002D6B4E" w:rsidP="002D6B4E">
      <w:pPr>
        <w:pStyle w:val="ListParagraph"/>
        <w:numPr>
          <w:ilvl w:val="0"/>
          <w:numId w:val="1"/>
        </w:numPr>
        <w:spacing w:before="120" w:after="120"/>
        <w:ind w:left="0" w:firstLine="709"/>
        <w:jc w:val="both"/>
        <w:rPr>
          <w:rStyle w:val="normaltextrun"/>
        </w:rPr>
      </w:pPr>
      <w:r>
        <w:rPr>
          <w:rFonts w:ascii="Times New Roman" w:hAnsi="Times New Roman" w:cs="Times New Roman"/>
        </w:rPr>
        <w:t xml:space="preserve">Atkārtoti lūdzam </w:t>
      </w:r>
      <w:r>
        <w:rPr>
          <w:rStyle w:val="normaltextrun"/>
          <w:rFonts w:ascii="Times New Roman" w:hAnsi="Times New Roman" w:cs="Times New Roman"/>
        </w:rPr>
        <w:t>izvērtēt visus projektā paredzētos pilnvarojumus Ministru kabinetam, attiecīgi precizējot projektu un papildinot projekta anotāciju (tās IV sadaļu).</w:t>
      </w:r>
    </w:p>
    <w:p w14:paraId="618FE7D7" w14:textId="77777777" w:rsidR="002D6B4E" w:rsidRDefault="002D6B4E" w:rsidP="002D6B4E">
      <w:pPr>
        <w:pStyle w:val="ListParagraph"/>
        <w:spacing w:before="120" w:after="120"/>
        <w:ind w:left="709"/>
        <w:jc w:val="both"/>
        <w:rPr>
          <w:rStyle w:val="normaltextrun"/>
          <w:rFonts w:ascii="Times New Roman" w:hAnsi="Times New Roman" w:cs="Times New Roman"/>
        </w:rPr>
      </w:pPr>
      <w:r>
        <w:rPr>
          <w:rStyle w:val="normaltextrun"/>
          <w:rFonts w:ascii="Times New Roman" w:hAnsi="Times New Roman" w:cs="Times New Roman"/>
        </w:rPr>
        <w:t>Vēršam uzmanību, ka pastāv tiesību praksē un judikatūrā nostiprināti principi par to, kā veidojami pilnvarojumi Ministru kabinetam:</w:t>
      </w:r>
    </w:p>
    <w:p w14:paraId="68BE07CF" w14:textId="77777777" w:rsidR="002D6B4E" w:rsidRDefault="002D6B4E" w:rsidP="002D6B4E">
      <w:pPr>
        <w:pStyle w:val="ListParagraph"/>
        <w:numPr>
          <w:ilvl w:val="0"/>
          <w:numId w:val="2"/>
        </w:numPr>
        <w:spacing w:before="120" w:after="120"/>
        <w:jc w:val="both"/>
        <w:rPr>
          <w:rFonts w:eastAsia="Times New Roman"/>
        </w:rPr>
      </w:pPr>
      <w:r>
        <w:rPr>
          <w:rFonts w:ascii="Times New Roman" w:eastAsia="Times New Roman" w:hAnsi="Times New Roman" w:cs="Times New Roman"/>
        </w:rPr>
        <w:t xml:space="preserve">Ministru kabinets var izdot vienīgi </w:t>
      </w:r>
      <w:r>
        <w:rPr>
          <w:rFonts w:ascii="Times New Roman" w:eastAsia="Times New Roman" w:hAnsi="Times New Roman" w:cs="Times New Roman"/>
          <w:u w:val="single"/>
        </w:rPr>
        <w:t>likumam pakārtotus</w:t>
      </w:r>
      <w:r>
        <w:rPr>
          <w:rFonts w:ascii="Times New Roman" w:eastAsia="Times New Roman" w:hAnsi="Times New Roman" w:cs="Times New Roman"/>
        </w:rPr>
        <w:t xml:space="preserve"> un likumam atbilstošus normatīvus aktus, lai sekmētu likumu īstenošanu dzīvē. To panāk, </w:t>
      </w:r>
      <w:r>
        <w:rPr>
          <w:rFonts w:ascii="Times New Roman" w:eastAsia="Times New Roman" w:hAnsi="Times New Roman" w:cs="Times New Roman"/>
          <w:u w:val="single"/>
        </w:rPr>
        <w:t>noteikumos konkretizējot tās likuma normas, kuru īstenošana prasa detalizētāku reglamentāciju</w:t>
      </w:r>
      <w:r>
        <w:rPr>
          <w:rFonts w:ascii="Times New Roman" w:eastAsia="Times New Roman" w:hAnsi="Times New Roman" w:cs="Times New Roman"/>
        </w:rPr>
        <w:t xml:space="preserve">. Ministru kabinets, izdodot noteikumus, nedrīkst tajos ietvert tādas normas, kas nav uzskatāmas par </w:t>
      </w:r>
      <w:r>
        <w:rPr>
          <w:rFonts w:ascii="Times New Roman" w:eastAsia="Times New Roman" w:hAnsi="Times New Roman" w:cs="Times New Roman"/>
          <w:u w:val="single"/>
        </w:rPr>
        <w:t>palīglīdzekļiem</w:t>
      </w:r>
      <w:r>
        <w:rPr>
          <w:rFonts w:ascii="Times New Roman" w:eastAsia="Times New Roman" w:hAnsi="Times New Roman" w:cs="Times New Roman"/>
        </w:rPr>
        <w:t xml:space="preserve"> likuma normas īstenošanā (</w:t>
      </w:r>
      <w:r>
        <w:rPr>
          <w:rFonts w:ascii="Times New Roman" w:eastAsia="Times New Roman" w:hAnsi="Times New Roman" w:cs="Times New Roman"/>
          <w:i/>
          <w:iCs/>
        </w:rPr>
        <w:t>sk.</w:t>
      </w:r>
      <w:r>
        <w:rPr>
          <w:rFonts w:ascii="Times New Roman" w:eastAsia="Times New Roman" w:hAnsi="Times New Roman" w:cs="Times New Roman"/>
        </w:rPr>
        <w:t xml:space="preserve"> </w:t>
      </w:r>
      <w:r>
        <w:rPr>
          <w:rFonts w:ascii="Times New Roman" w:eastAsia="Times New Roman" w:hAnsi="Times New Roman" w:cs="Times New Roman"/>
          <w:i/>
          <w:iCs/>
        </w:rPr>
        <w:t>Satversmes tiesas 2001. gada 3. aprīļa sprieduma lietā Nr. 2000</w:t>
      </w:r>
      <w:r>
        <w:rPr>
          <w:rFonts w:ascii="Times New Roman" w:eastAsia="Times New Roman" w:hAnsi="Times New Roman" w:cs="Times New Roman"/>
          <w:i/>
          <w:iCs/>
        </w:rPr>
        <w:noBreakHyphen/>
        <w:t>07</w:t>
      </w:r>
      <w:r>
        <w:rPr>
          <w:rFonts w:ascii="Times New Roman" w:eastAsia="Times New Roman" w:hAnsi="Times New Roman" w:cs="Times New Roman"/>
          <w:i/>
          <w:iCs/>
        </w:rPr>
        <w:noBreakHyphen/>
        <w:t>0409 secinājumu daļas 5. punktu</w:t>
      </w:r>
      <w:r>
        <w:rPr>
          <w:rFonts w:ascii="Times New Roman" w:eastAsia="Times New Roman" w:hAnsi="Times New Roman" w:cs="Times New Roman"/>
        </w:rPr>
        <w:t xml:space="preserve">). Visi subjekti, kas nav parlaments, ir strikti juridiski ierobežoti </w:t>
      </w:r>
      <w:proofErr w:type="spellStart"/>
      <w:r>
        <w:rPr>
          <w:rFonts w:ascii="Times New Roman" w:eastAsia="Times New Roman" w:hAnsi="Times New Roman" w:cs="Times New Roman"/>
        </w:rPr>
        <w:t>vispārsaistošu</w:t>
      </w:r>
      <w:proofErr w:type="spellEnd"/>
      <w:r>
        <w:rPr>
          <w:rFonts w:ascii="Times New Roman" w:eastAsia="Times New Roman" w:hAnsi="Times New Roman" w:cs="Times New Roman"/>
        </w:rPr>
        <w:t xml:space="preserve"> normu izdošanā. Vispirms jābūt likumdevēja tiešam deleģējumam šādas normas izdot, bet, šo deleģējumu īstenojot, ir precīzi jāievēro tā robežas, kā arī varas dalīšanas un likumības principi. </w:t>
      </w:r>
    </w:p>
    <w:p w14:paraId="5D3E6ED5" w14:textId="77777777" w:rsidR="002D6B4E" w:rsidRDefault="002D6B4E" w:rsidP="002D6B4E">
      <w:pPr>
        <w:pStyle w:val="ListParagraph"/>
        <w:numPr>
          <w:ilvl w:val="0"/>
          <w:numId w:val="2"/>
        </w:num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Likumdevēja rīcības brīvība, tam deleģējot citiem valsts orgāniem tiesības izdot </w:t>
      </w:r>
      <w:proofErr w:type="spellStart"/>
      <w:r>
        <w:rPr>
          <w:rFonts w:ascii="Times New Roman" w:eastAsia="Times New Roman" w:hAnsi="Times New Roman" w:cs="Times New Roman"/>
        </w:rPr>
        <w:t>vispārsaistošus</w:t>
      </w:r>
      <w:proofErr w:type="spellEnd"/>
      <w:r>
        <w:rPr>
          <w:rFonts w:ascii="Times New Roman" w:eastAsia="Times New Roman" w:hAnsi="Times New Roman" w:cs="Times New Roman"/>
        </w:rPr>
        <w:t xml:space="preserve"> normatīvos aktus, ir ierobežota. Satversmes tiesa savā judikatūrā ir uzsvērusi virkni kritēriju, kas likumdevējam jāņem vērā, piešķirot šādu pilnvarojumu. Ir jautājumi, kurus var izlemt tikai parlaments pats. Piemēram, par ikviena tāda svarīga un nozīmīga valsts un sabiedrības dzīves jautājuma reglamentāciju, </w:t>
      </w:r>
      <w:r>
        <w:rPr>
          <w:rFonts w:ascii="Times New Roman" w:eastAsia="Times New Roman" w:hAnsi="Times New Roman" w:cs="Times New Roman"/>
          <w:u w:val="single"/>
        </w:rPr>
        <w:t>kuros nepieciešama konceptuāla izšķiršanās un politiska diskusija, jālemj likumdevējam pašam</w:t>
      </w:r>
      <w:r>
        <w:rPr>
          <w:rFonts w:ascii="Times New Roman" w:eastAsia="Times New Roman" w:hAnsi="Times New Roman" w:cs="Times New Roman"/>
        </w:rPr>
        <w:t xml:space="preserve">. </w:t>
      </w:r>
    </w:p>
    <w:p w14:paraId="3F2ECB07" w14:textId="77777777" w:rsidR="002D6B4E" w:rsidRDefault="002D6B4E" w:rsidP="002D6B4E">
      <w:pPr>
        <w:pStyle w:val="ListParagraph"/>
        <w:numPr>
          <w:ilvl w:val="0"/>
          <w:numId w:val="2"/>
        </w:numPr>
        <w:spacing w:before="120" w:after="120"/>
        <w:jc w:val="both"/>
        <w:rPr>
          <w:rFonts w:ascii="Times New Roman" w:eastAsia="Times New Roman" w:hAnsi="Times New Roman" w:cs="Times New Roman"/>
        </w:rPr>
      </w:pPr>
      <w:r>
        <w:rPr>
          <w:rFonts w:ascii="Times New Roman" w:eastAsia="Times New Roman" w:hAnsi="Times New Roman" w:cs="Times New Roman"/>
        </w:rPr>
        <w:t>Likumdevēja pilnvarojumam jābūt konkrētam, proti, skaidri noteiktam. Parlamentam ir deleģējošajā likuma normā skaidri jānosaka kompetentām institūcijām piešķirto pilnvaru apjoms un to īstenošanas veids, ņemot vērā noteiktā līdzekļa leģitīmo mērķi (</w:t>
      </w:r>
      <w:r>
        <w:rPr>
          <w:rFonts w:ascii="Times New Roman" w:eastAsia="Times New Roman" w:hAnsi="Times New Roman" w:cs="Times New Roman"/>
          <w:i/>
          <w:iCs/>
        </w:rPr>
        <w:t xml:space="preserve">plašāk sk.: Satversmes tiesas tiesnešu Inetas Ziemeles un Sanitas </w:t>
      </w:r>
      <w:proofErr w:type="spellStart"/>
      <w:r>
        <w:rPr>
          <w:rFonts w:ascii="Times New Roman" w:eastAsia="Times New Roman" w:hAnsi="Times New Roman" w:cs="Times New Roman"/>
          <w:i/>
          <w:iCs/>
        </w:rPr>
        <w:t>Osipovas</w:t>
      </w:r>
      <w:proofErr w:type="spellEnd"/>
      <w:r>
        <w:rPr>
          <w:rFonts w:ascii="Times New Roman" w:eastAsia="Times New Roman" w:hAnsi="Times New Roman" w:cs="Times New Roman"/>
          <w:i/>
          <w:iCs/>
        </w:rPr>
        <w:t xml:space="preserve"> atsevišķās domas lietā Nr. 2017-33-03</w:t>
      </w:r>
      <w:r>
        <w:rPr>
          <w:rFonts w:ascii="Times New Roman" w:eastAsia="Times New Roman" w:hAnsi="Times New Roman" w:cs="Times New Roman"/>
        </w:rPr>
        <w:t xml:space="preserve">). </w:t>
      </w:r>
    </w:p>
    <w:p w14:paraId="012FA9BB" w14:textId="77777777" w:rsidR="002D6B4E" w:rsidRDefault="002D6B4E" w:rsidP="002D6B4E">
      <w:pPr>
        <w:pStyle w:val="ListParagraph"/>
        <w:numPr>
          <w:ilvl w:val="0"/>
          <w:numId w:val="2"/>
        </w:numPr>
        <w:spacing w:before="120" w:after="120"/>
        <w:jc w:val="both"/>
        <w:rPr>
          <w:rFonts w:ascii="Times New Roman" w:eastAsia="Times New Roman" w:hAnsi="Times New Roman" w:cs="Times New Roman"/>
        </w:rPr>
      </w:pPr>
      <w:r>
        <w:rPr>
          <w:rFonts w:ascii="Times New Roman" w:eastAsia="Times New Roman" w:hAnsi="Times New Roman" w:cs="Times New Roman"/>
        </w:rPr>
        <w:t>Ministru kabineta noteikumos nav pieļaujams ietvert sodoša rakstura administratīvās sankcijas. Likumdevējam ir jāizlemj gan to, par ko personu var sodīt, gan arī to, kādus sodus var paredzēt (</w:t>
      </w:r>
      <w:r>
        <w:rPr>
          <w:rFonts w:ascii="Times New Roman" w:eastAsia="Times New Roman" w:hAnsi="Times New Roman" w:cs="Times New Roman"/>
          <w:i/>
          <w:iCs/>
        </w:rPr>
        <w:t>sal.: Augstākās tiesas Administratīvo lietu departamenta 2017. gada 5. jūlija sprieduma lietā Nr. SKA-48/2017 9. punkts</w:t>
      </w:r>
      <w:r>
        <w:rPr>
          <w:rFonts w:ascii="Times New Roman" w:eastAsia="Times New Roman" w:hAnsi="Times New Roman" w:cs="Times New Roman"/>
        </w:rPr>
        <w:t>).</w:t>
      </w:r>
    </w:p>
    <w:p w14:paraId="1C8F2AC6" w14:textId="77777777" w:rsidR="002D6B4E" w:rsidRDefault="002D6B4E" w:rsidP="002D6B4E">
      <w:pPr>
        <w:jc w:val="both"/>
        <w:rPr>
          <w:rFonts w:ascii="Times New Roman" w:hAnsi="Times New Roman" w:cs="Times New Roman"/>
        </w:rPr>
      </w:pPr>
      <w:r>
        <w:rPr>
          <w:rFonts w:ascii="Times New Roman" w:hAnsi="Times New Roman" w:cs="Times New Roman"/>
        </w:rPr>
        <w:t xml:space="preserve">            Jebkurā gadījumā nav ieteicams pārslogot likuma tekstu ar pilnvarojumiem, jo tas padara pašu likumu neefektīvu un </w:t>
      </w:r>
      <w:proofErr w:type="spellStart"/>
      <w:r>
        <w:rPr>
          <w:rFonts w:ascii="Times New Roman" w:hAnsi="Times New Roman" w:cs="Times New Roman"/>
        </w:rPr>
        <w:t>sarežģī</w:t>
      </w:r>
      <w:proofErr w:type="spellEnd"/>
      <w:r>
        <w:rPr>
          <w:rFonts w:ascii="Times New Roman" w:hAnsi="Times New Roman" w:cs="Times New Roman"/>
        </w:rPr>
        <w:t xml:space="preserve"> likuma normu piemērošanu (</w:t>
      </w:r>
      <w:r>
        <w:rPr>
          <w:rFonts w:ascii="Times New Roman" w:hAnsi="Times New Roman" w:cs="Times New Roman"/>
          <w:i/>
          <w:iCs/>
        </w:rPr>
        <w:t xml:space="preserve">Normatīvo aktu projektu izstrādes rokasgrāmata, </w:t>
      </w:r>
      <w:hyperlink r:id="rId5" w:history="1">
        <w:r>
          <w:rPr>
            <w:rStyle w:val="Hyperlink"/>
            <w:rFonts w:ascii="Times New Roman" w:hAnsi="Times New Roman" w:cs="Times New Roman"/>
            <w:i/>
            <w:iCs/>
          </w:rPr>
          <w:t>https://tai.mk.gov.lv/book/1/chapter/97</w:t>
        </w:r>
      </w:hyperlink>
      <w:r>
        <w:rPr>
          <w:rFonts w:ascii="Times New Roman" w:hAnsi="Times New Roman" w:cs="Times New Roman"/>
        </w:rPr>
        <w:t>).</w:t>
      </w:r>
    </w:p>
    <w:p w14:paraId="3B68BE7B" w14:textId="77777777" w:rsidR="002D6B4E" w:rsidRDefault="002D6B4E" w:rsidP="002D6B4E">
      <w:pPr>
        <w:jc w:val="both"/>
        <w:rPr>
          <w:rFonts w:ascii="Times New Roman" w:hAnsi="Times New Roman" w:cs="Times New Roman"/>
        </w:rPr>
      </w:pPr>
      <w:r>
        <w:rPr>
          <w:rFonts w:ascii="Times New Roman" w:hAnsi="Times New Roman" w:cs="Times New Roman"/>
        </w:rPr>
        <w:t>            Šobrīd projektā ir ietverti daudzi pilnvarojumi Ministru kabinetam ne tikai noteikt kādas likuma prasības īstenošanas procedūru, bet arī risināt materiāla rakstura jautājumus. Par to liecina pilnvarojumos lietotie tādi vārdi kā "prasības", "rādītāji", "personu tiesības un pienākumi" (tik abstrakts pilnvarojums vispār nav pieļaujams), "kritēriji", "izņēmumi" (Ministru kabineta noteikumos nebūtu pieļaujams paredzēt izņēmumus no likuma), "nosacījumi" u. tml. Turklāt likumā nav atrodamas nekādas vadlīnijas (</w:t>
      </w:r>
      <w:proofErr w:type="spellStart"/>
      <w:r>
        <w:rPr>
          <w:rFonts w:ascii="Times New Roman" w:hAnsi="Times New Roman" w:cs="Times New Roman"/>
        </w:rPr>
        <w:t>pamatregulējums</w:t>
      </w:r>
      <w:proofErr w:type="spellEnd"/>
      <w:r>
        <w:rPr>
          <w:rFonts w:ascii="Times New Roman" w:hAnsi="Times New Roman" w:cs="Times New Roman"/>
        </w:rPr>
        <w:t>) Ministru kabinetam, kā šādu pilnvarojumu izpildīt.</w:t>
      </w:r>
    </w:p>
    <w:p w14:paraId="3C603DC7" w14:textId="77777777" w:rsidR="002D6B4E" w:rsidRDefault="002D6B4E" w:rsidP="002D6B4E">
      <w:pPr>
        <w:jc w:val="both"/>
        <w:rPr>
          <w:rFonts w:ascii="Times New Roman" w:hAnsi="Times New Roman" w:cs="Times New Roman"/>
        </w:rPr>
      </w:pPr>
      <w:r>
        <w:rPr>
          <w:rFonts w:ascii="Times New Roman" w:hAnsi="Times New Roman" w:cs="Times New Roman"/>
        </w:rPr>
        <w:t xml:space="preserve">            Šādas norādes nav atrodamas arī projekta anotācijas IV sadaļā (atbilstoši </w:t>
      </w:r>
      <w:r>
        <w:rPr>
          <w:rStyle w:val="normaltextrun"/>
          <w:rFonts w:ascii="Times New Roman" w:hAnsi="Times New Roman" w:cs="Times New Roman"/>
        </w:rPr>
        <w:t xml:space="preserve">Ministru kabineta 2009. gada 15. decembra instrukcijas Nr. 19 "Tiesību akta projekta sākotnējās ietekmes izvērtēšanas kārtība" 54. punkta prasībām projekta anotācijā ir jāskaidro projektā paredzēto tiesību aktu nepieciešamība </w:t>
      </w:r>
      <w:r>
        <w:rPr>
          <w:rStyle w:val="normaltextrun"/>
          <w:rFonts w:ascii="Times New Roman" w:hAnsi="Times New Roman" w:cs="Times New Roman"/>
        </w:rPr>
        <w:lastRenderedPageBreak/>
        <w:t xml:space="preserve">un būtība). </w:t>
      </w:r>
      <w:r>
        <w:rPr>
          <w:rFonts w:ascii="Times New Roman" w:hAnsi="Times New Roman" w:cs="Times New Roman"/>
        </w:rPr>
        <w:t>Ja ir nolemts izstrādāt jaunus Ministru kabineta noteikumus, tad projekta anotācijā norāda pamatojumu šādai izvēlei, kā arī apraksta jauno Ministru kabineta noteikumu saturisko ietvaru. Jau šajā stadijā ir lietderīgi rūpīgi apdomāt, kā precīzi formulēt regulējamo jautājumu loku. (</w:t>
      </w:r>
      <w:r>
        <w:rPr>
          <w:rFonts w:ascii="Times New Roman" w:hAnsi="Times New Roman" w:cs="Times New Roman"/>
          <w:i/>
          <w:iCs/>
        </w:rPr>
        <w:t xml:space="preserve">Smiltēna A., </w:t>
      </w:r>
      <w:proofErr w:type="spellStart"/>
      <w:r>
        <w:rPr>
          <w:rFonts w:ascii="Times New Roman" w:hAnsi="Times New Roman" w:cs="Times New Roman"/>
          <w:i/>
          <w:iCs/>
        </w:rPr>
        <w:t>Bloma</w:t>
      </w:r>
      <w:proofErr w:type="spellEnd"/>
      <w:r>
        <w:rPr>
          <w:rFonts w:ascii="Times New Roman" w:hAnsi="Times New Roman" w:cs="Times New Roman"/>
          <w:i/>
          <w:iCs/>
        </w:rPr>
        <w:t xml:space="preserve"> I. Tiesību akta projekta ietekmes sākotnējā izvērtēšana. [</w:t>
      </w:r>
      <w:proofErr w:type="spellStart"/>
      <w:r>
        <w:rPr>
          <w:rFonts w:ascii="Times New Roman" w:hAnsi="Times New Roman" w:cs="Times New Roman"/>
          <w:i/>
          <w:iCs/>
        </w:rPr>
        <w:t>B.v</w:t>
      </w:r>
      <w:proofErr w:type="spellEnd"/>
      <w:r>
        <w:rPr>
          <w:rFonts w:ascii="Times New Roman" w:hAnsi="Times New Roman" w:cs="Times New Roman"/>
          <w:i/>
          <w:iCs/>
        </w:rPr>
        <w:t>.]: Valsts kanceleja, 2014, 45.–46.  lpp.).</w:t>
      </w:r>
      <w:r>
        <w:rPr>
          <w:rFonts w:ascii="Times New Roman" w:hAnsi="Times New Roman" w:cs="Times New Roman"/>
        </w:rPr>
        <w:t xml:space="preserve"> </w:t>
      </w:r>
      <w:r>
        <w:rPr>
          <w:rFonts w:ascii="Times New Roman" w:hAnsi="Times New Roman" w:cs="Times New Roman"/>
          <w:u w:val="single"/>
        </w:rPr>
        <w:t>Pirms pilnvarojuma ietveršanas normatīvā akta projektā būtībā ir nepieciešams konstatēt izstrādājamo noteikumu galvenos regulējamos jautājumus</w:t>
      </w:r>
      <w:r>
        <w:rPr>
          <w:rFonts w:ascii="Times New Roman" w:hAnsi="Times New Roman" w:cs="Times New Roman"/>
        </w:rPr>
        <w:t xml:space="preserve"> (piemēram, kas ietilpst "kārtībā", kādus procesa posmus nepieciešams regulēt). Citiem vārdiem sakot, jāspēj izveidot attiecīgā noteikumu projekta satura rādītāju, galveno tēžu sarakstu. </w:t>
      </w:r>
    </w:p>
    <w:p w14:paraId="532EC938" w14:textId="77777777" w:rsidR="002D6B4E" w:rsidRDefault="002D6B4E" w:rsidP="002D6B4E">
      <w:pPr>
        <w:jc w:val="both"/>
        <w:rPr>
          <w:rFonts w:ascii="Times New Roman" w:hAnsi="Times New Roman" w:cs="Times New Roman"/>
        </w:rPr>
      </w:pPr>
      <w:r>
        <w:rPr>
          <w:rFonts w:ascii="Times New Roman" w:hAnsi="Times New Roman" w:cs="Times New Roman"/>
        </w:rPr>
        <w:t xml:space="preserve">Ja projekta anotācijā nav skaidrojuma, tad nav iespējams izvērtēt pilnvarojuma atbilstību iepriekšminētajām prasībām, kā arī pastāv liela varbūtība, ka Ministru kabineta noteikumos nemaz nevarēs ietvert nepieciešamo vai plānoto regulējumu. </w:t>
      </w:r>
    </w:p>
    <w:p w14:paraId="44EA3F96" w14:textId="77777777" w:rsidR="002D6B4E" w:rsidRDefault="002D6B4E" w:rsidP="002D6B4E">
      <w:pPr>
        <w:ind w:firstLine="720"/>
        <w:jc w:val="both"/>
        <w:rPr>
          <w:rFonts w:ascii="Times New Roman" w:hAnsi="Times New Roman" w:cs="Times New Roman"/>
        </w:rPr>
      </w:pPr>
      <w:r>
        <w:rPr>
          <w:rFonts w:ascii="Times New Roman" w:hAnsi="Times New Roman" w:cs="Times New Roman"/>
        </w:rPr>
        <w:t>Atbilstoši iepriekš minētajam it īpaši pārskatāmi un precizējami šādi projektā ietvertie pilnvarojumi (uzsveram, ka turpmāk minētais precizējamo normu saraksts nav izsmeļošs):</w:t>
      </w:r>
    </w:p>
    <w:p w14:paraId="699639F4" w14:textId="77777777" w:rsidR="002D6B4E" w:rsidRDefault="002D6B4E" w:rsidP="002D6B4E">
      <w:pPr>
        <w:ind w:left="709" w:firstLine="11"/>
        <w:jc w:val="both"/>
        <w:rPr>
          <w:rFonts w:ascii="Times New Roman" w:hAnsi="Times New Roman" w:cs="Times New Roman"/>
        </w:rPr>
      </w:pPr>
      <w:r>
        <w:rPr>
          <w:rFonts w:ascii="Times New Roman" w:hAnsi="Times New Roman" w:cs="Times New Roman"/>
        </w:rPr>
        <w:t>- projekta 4.panta astotās daļas 2.punkts, ka MK nosaka “</w:t>
      </w:r>
      <w:r>
        <w:rPr>
          <w:rFonts w:ascii="Times New Roman" w:hAnsi="Times New Roman" w:cs="Times New Roman"/>
          <w:i/>
          <w:iCs/>
        </w:rPr>
        <w:t xml:space="preserve">kārtību, kādā Ministru kabineta noteikta </w:t>
      </w:r>
      <w:r>
        <w:rPr>
          <w:rFonts w:ascii="Times New Roman" w:hAnsi="Times New Roman" w:cs="Times New Roman"/>
          <w:i/>
          <w:iCs/>
          <w:u w:val="single"/>
        </w:rPr>
        <w:t>institūcija</w:t>
      </w:r>
      <w:r>
        <w:rPr>
          <w:rFonts w:ascii="Times New Roman" w:hAnsi="Times New Roman" w:cs="Times New Roman"/>
          <w:i/>
          <w:iCs/>
        </w:rPr>
        <w:t xml:space="preserve">, kura nodrošina enerģētikas politikas administrēšanu (turpmāk – Ministru kabineta noteikta institūcija) </w:t>
      </w:r>
      <w:r>
        <w:rPr>
          <w:rFonts w:ascii="Times New Roman" w:hAnsi="Times New Roman" w:cs="Times New Roman"/>
          <w:i/>
          <w:iCs/>
          <w:u w:val="single"/>
        </w:rPr>
        <w:t>iznīcina</w:t>
      </w:r>
      <w:r>
        <w:rPr>
          <w:rFonts w:ascii="Times New Roman" w:hAnsi="Times New Roman" w:cs="Times New Roman"/>
          <w:i/>
          <w:iCs/>
        </w:rPr>
        <w:t xml:space="preserve"> kvalitātes prasībām neatbilstošu transporta enerģiju</w:t>
      </w:r>
      <w:r>
        <w:rPr>
          <w:rFonts w:ascii="Times New Roman" w:hAnsi="Times New Roman" w:cs="Times New Roman"/>
        </w:rPr>
        <w:t xml:space="preserve">”. Atbilstošā likuma (projekta) norma – 4.panta septītā daļa – paredz, ka </w:t>
      </w:r>
      <w:r>
        <w:rPr>
          <w:rFonts w:ascii="Times New Roman" w:hAnsi="Times New Roman" w:cs="Times New Roman"/>
          <w:sz w:val="28"/>
          <w:szCs w:val="28"/>
          <w:lang w:eastAsia="lv-LV"/>
        </w:rPr>
        <w:t>“</w:t>
      </w:r>
      <w:r>
        <w:rPr>
          <w:rFonts w:ascii="Times New Roman" w:hAnsi="Times New Roman" w:cs="Times New Roman"/>
          <w:i/>
          <w:iCs/>
          <w:sz w:val="28"/>
          <w:szCs w:val="28"/>
          <w:lang w:eastAsia="lv-LV"/>
        </w:rPr>
        <w:t>t</w:t>
      </w:r>
      <w:r>
        <w:rPr>
          <w:rFonts w:ascii="Times New Roman" w:hAnsi="Times New Roman" w:cs="Times New Roman"/>
          <w:i/>
          <w:iCs/>
        </w:rPr>
        <w:t xml:space="preserve">ransporta enerģiju, kas neatbilst šajā likumā un uz tā pamata izdoto normatīvo aktu noteiktām kvalitātes prasībām, šā panta otrajā daļā minētā </w:t>
      </w:r>
      <w:r>
        <w:rPr>
          <w:rFonts w:ascii="Times New Roman" w:hAnsi="Times New Roman" w:cs="Times New Roman"/>
          <w:i/>
          <w:iCs/>
          <w:u w:val="single"/>
        </w:rPr>
        <w:t>persona</w:t>
      </w:r>
      <w:r>
        <w:rPr>
          <w:rFonts w:ascii="Times New Roman" w:hAnsi="Times New Roman" w:cs="Times New Roman"/>
          <w:i/>
          <w:iCs/>
        </w:rPr>
        <w:t xml:space="preserve"> [t.i., “</w:t>
      </w:r>
      <w:r>
        <w:rPr>
          <w:rFonts w:ascii="Times New Roman" w:hAnsi="Times New Roman" w:cs="Times New Roman"/>
        </w:rPr>
        <w:t xml:space="preserve">Persona, kas </w:t>
      </w:r>
      <w:proofErr w:type="spellStart"/>
      <w:r>
        <w:rPr>
          <w:rFonts w:ascii="Times New Roman" w:hAnsi="Times New Roman" w:cs="Times New Roman"/>
        </w:rPr>
        <w:t>galapatēriņam</w:t>
      </w:r>
      <w:proofErr w:type="spellEnd"/>
      <w:r>
        <w:rPr>
          <w:rFonts w:ascii="Times New Roman" w:hAnsi="Times New Roman" w:cs="Times New Roman"/>
        </w:rPr>
        <w:t xml:space="preserve"> transportā realizē transporta enerģiju”] </w:t>
      </w:r>
      <w:r>
        <w:rPr>
          <w:rFonts w:ascii="Times New Roman" w:hAnsi="Times New Roman" w:cs="Times New Roman"/>
          <w:i/>
          <w:iCs/>
        </w:rPr>
        <w:t xml:space="preserve">[1] atgriež attiecīgajai personai, no kā transporta enerģija ir iegādāta, [2] pārstrādā vai [3] </w:t>
      </w:r>
      <w:r>
        <w:rPr>
          <w:rFonts w:ascii="Times New Roman" w:hAnsi="Times New Roman" w:cs="Times New Roman"/>
          <w:i/>
          <w:iCs/>
          <w:u w:val="single"/>
        </w:rPr>
        <w:t>iznīcina</w:t>
      </w:r>
      <w:r>
        <w:rPr>
          <w:rFonts w:ascii="Times New Roman" w:hAnsi="Times New Roman" w:cs="Times New Roman"/>
        </w:rPr>
        <w:t xml:space="preserve">”. No projekta un anotācijas nav izsecināms, vai enerģijas atgriešana, pārstrādāšana vai iznīcināšana ir personas – vai uzraudzības institūcijas – brīva izvēle, vai arī pastāv kādi nosacījumi šādas izvēles izdarīšanai. Tāpat secināms, ka neatbilstošās degvielas iznīcināšanu veic persona, nevis institūcija. Nav skaidrs, vai šos jautājumus paredzēts risināt MK noteikumos (ņemot vērā, ka minētais regulējums skar personu </w:t>
      </w:r>
      <w:proofErr w:type="spellStart"/>
      <w:r>
        <w:rPr>
          <w:rFonts w:ascii="Times New Roman" w:hAnsi="Times New Roman" w:cs="Times New Roman"/>
        </w:rPr>
        <w:t>pamattiesības</w:t>
      </w:r>
      <w:proofErr w:type="spellEnd"/>
      <w:r>
        <w:rPr>
          <w:rFonts w:ascii="Times New Roman" w:hAnsi="Times New Roman" w:cs="Times New Roman"/>
        </w:rPr>
        <w:t xml:space="preserve"> uz īpašumu, Tieslietu ministrijas ieskatā šāds regulējums būtu jāiekļauj likumā).</w:t>
      </w:r>
    </w:p>
    <w:p w14:paraId="433A2506" w14:textId="77777777" w:rsidR="002D6B4E" w:rsidRDefault="002D6B4E" w:rsidP="002D6B4E">
      <w:pPr>
        <w:ind w:left="709" w:firstLine="11"/>
        <w:jc w:val="both"/>
        <w:rPr>
          <w:rFonts w:ascii="Times New Roman" w:hAnsi="Times New Roman" w:cs="Times New Roman"/>
        </w:rPr>
      </w:pPr>
      <w:r>
        <w:rPr>
          <w:rFonts w:ascii="Times New Roman" w:hAnsi="Times New Roman" w:cs="Times New Roman"/>
        </w:rPr>
        <w:t>- projekta 4.panta astotās daļas 3.punkts – MK nosaka “</w:t>
      </w:r>
      <w:bookmarkStart w:id="0" w:name="_Hlk66190456"/>
      <w:r>
        <w:rPr>
          <w:rFonts w:ascii="Times New Roman" w:hAnsi="Times New Roman" w:cs="Times New Roman"/>
        </w:rPr>
        <w:t xml:space="preserve">prasības transporta enerģijas apritē iesaistītajām personām, tai skaitā degvielas piegādātājiem, šo personu tiesības un pienākumus”. Šāds pilnvarojums ir nesamērīgi plašs, šādus MK noteikumus nevar uzskatīt par uzskatāmas par </w:t>
      </w:r>
      <w:r>
        <w:rPr>
          <w:rFonts w:ascii="Times New Roman" w:hAnsi="Times New Roman" w:cs="Times New Roman"/>
          <w:u w:val="single"/>
        </w:rPr>
        <w:t>palīglīdzekļiem</w:t>
      </w:r>
      <w:r>
        <w:rPr>
          <w:rFonts w:ascii="Times New Roman" w:hAnsi="Times New Roman" w:cs="Times New Roman"/>
        </w:rPr>
        <w:t xml:space="preserve"> likuma normas īstenošanā.</w:t>
      </w:r>
      <w:bookmarkEnd w:id="0"/>
    </w:p>
    <w:p w14:paraId="28AB39C9" w14:textId="77777777" w:rsidR="002D6B4E" w:rsidRDefault="002D6B4E" w:rsidP="002D6B4E">
      <w:pPr>
        <w:ind w:left="709" w:firstLine="11"/>
        <w:jc w:val="both"/>
        <w:rPr>
          <w:rFonts w:ascii="Times New Roman" w:hAnsi="Times New Roman" w:cs="Times New Roman"/>
          <w:sz w:val="24"/>
          <w:szCs w:val="24"/>
        </w:rPr>
      </w:pPr>
      <w:r>
        <w:rPr>
          <w:rFonts w:ascii="Times New Roman" w:hAnsi="Times New Roman" w:cs="Times New Roman"/>
        </w:rPr>
        <w:t xml:space="preserve">- projekta 5.panta astotā daļa – paredz, ka “ Ministru kabinets izdod noteikumus, kuros nosaka </w:t>
      </w:r>
      <w:r>
        <w:rPr>
          <w:rFonts w:ascii="Times New Roman" w:hAnsi="Times New Roman" w:cs="Times New Roman"/>
          <w:u w:val="single"/>
        </w:rPr>
        <w:t>šā panta pirmajā un septītajā daļā noteikto uzdevumu nodrošināšanas nosacījumus</w:t>
      </w:r>
      <w:r>
        <w:rPr>
          <w:rFonts w:ascii="Times New Roman" w:hAnsi="Times New Roman" w:cs="Times New Roman"/>
        </w:rPr>
        <w:t>.</w:t>
      </w:r>
      <w:r>
        <w:rPr>
          <w:rFonts w:ascii="Times New Roman" w:hAnsi="Times New Roman" w:cs="Times New Roman"/>
          <w:sz w:val="28"/>
          <w:szCs w:val="28"/>
          <w:lang w:eastAsia="lv-LV"/>
        </w:rPr>
        <w:t xml:space="preserve">” </w:t>
      </w:r>
      <w:r>
        <w:rPr>
          <w:rFonts w:ascii="Times New Roman" w:hAnsi="Times New Roman" w:cs="Times New Roman"/>
        </w:rPr>
        <w:t>Projekta 5.panta pirmā daļa savukārt noteic, ka “</w:t>
      </w:r>
      <w:r>
        <w:rPr>
          <w:rFonts w:ascii="Times New Roman" w:hAnsi="Times New Roman" w:cs="Times New Roman"/>
          <w:i/>
          <w:iCs/>
        </w:rPr>
        <w:t xml:space="preserve">Satiksmes ministrija, sadarbojoties ar Ekonomikas ministriju, Vides aizsardzības un reģionālās attīstības ministriju un attiecīgajām pašvaldībām, kuru administratīvo teritoriju tas skars, un ņemot vērā politikas plānošanas dokumentus klimata, enerģētikas un transporta politikas jomā, izstrādā nepieciešamos normatīvos aktus, lai nodrošinātu, ka Eiropas Transporta tīkla (turpmāk – TEN-T) pamattīklā, </w:t>
      </w:r>
      <w:proofErr w:type="spellStart"/>
      <w:r>
        <w:rPr>
          <w:rFonts w:ascii="Times New Roman" w:hAnsi="Times New Roman" w:cs="Times New Roman"/>
          <w:i/>
          <w:iCs/>
        </w:rPr>
        <w:t>valstspilsētu</w:t>
      </w:r>
      <w:proofErr w:type="spellEnd"/>
      <w:r>
        <w:rPr>
          <w:rFonts w:ascii="Times New Roman" w:hAnsi="Times New Roman" w:cs="Times New Roman"/>
          <w:i/>
          <w:iCs/>
        </w:rPr>
        <w:t xml:space="preserve"> teritorijā un to kaimiņu novadu teritorijā, kā arī blīvi apdzīvotās teritorijās tiek uzstādīti jauni uzlādes punkti</w:t>
      </w:r>
      <w:r>
        <w:rPr>
          <w:rFonts w:ascii="Times New Roman" w:hAnsi="Times New Roman" w:cs="Times New Roman"/>
        </w:rPr>
        <w:t>.”</w:t>
      </w:r>
    </w:p>
    <w:p w14:paraId="4BD4AF5B" w14:textId="77777777" w:rsidR="002D6B4E" w:rsidRDefault="002D6B4E" w:rsidP="002D6B4E">
      <w:pPr>
        <w:ind w:left="709" w:firstLine="11"/>
        <w:jc w:val="both"/>
        <w:rPr>
          <w:rFonts w:ascii="Times New Roman" w:hAnsi="Times New Roman" w:cs="Times New Roman"/>
        </w:rPr>
      </w:pPr>
      <w:r>
        <w:rPr>
          <w:rFonts w:ascii="Times New Roman" w:hAnsi="Times New Roman" w:cs="Times New Roman"/>
        </w:rPr>
        <w:t>Līdz ar to nav īsti saprotams, ko paredzēs projekta 5.panta astotajā daļā minētie noteikumi – no pašreizējās projekta redakcijas secināms, ka MK noteiks nosacījumus, kā SAM sadarbībā ar citām ministrijām izstrādā nepieciešamos normatīvos aktus. Nav skaidra ne šādu MK noteikumu jēga, ne tas, kādus normatīvos aktus izstrādās minētās ministrijas (jānorāda, ka ministrijām nav tiesību izdot ārējus normatīvos aktus), ne kas saprotams ar “nodrošināšanas nosacījumiem”.</w:t>
      </w:r>
    </w:p>
    <w:p w14:paraId="39582002" w14:textId="77777777" w:rsidR="002D6B4E" w:rsidRDefault="002D6B4E" w:rsidP="002D6B4E">
      <w:pPr>
        <w:ind w:left="709" w:firstLine="11"/>
        <w:jc w:val="both"/>
        <w:rPr>
          <w:rFonts w:ascii="Times New Roman" w:hAnsi="Times New Roman" w:cs="Times New Roman"/>
        </w:rPr>
      </w:pPr>
      <w:r>
        <w:rPr>
          <w:rFonts w:ascii="Times New Roman" w:hAnsi="Times New Roman" w:cs="Times New Roman"/>
        </w:rPr>
        <w:t>Savukārt projekta 5.panta astotajā daļā minētā 5.panta septītā daļa jau pati par sevi satur tikai pilnvarojumus MK, līdz ar to atsauce uz septīto daļu svītrojama.</w:t>
      </w:r>
    </w:p>
    <w:p w14:paraId="04D0C06D" w14:textId="77777777" w:rsidR="002D6B4E" w:rsidRDefault="002D6B4E" w:rsidP="002D6B4E">
      <w:pPr>
        <w:pStyle w:val="ListParagraph"/>
        <w:numPr>
          <w:ilvl w:val="0"/>
          <w:numId w:val="2"/>
        </w:numPr>
        <w:ind w:left="709" w:firstLine="11"/>
        <w:jc w:val="both"/>
        <w:rPr>
          <w:rFonts w:ascii="Times New Roman" w:hAnsi="Times New Roman" w:cs="Times New Roman"/>
        </w:rPr>
      </w:pPr>
      <w:r>
        <w:rPr>
          <w:rFonts w:ascii="Times New Roman" w:hAnsi="Times New Roman" w:cs="Times New Roman"/>
        </w:rPr>
        <w:t>Projekta 5.panta septītās daļas 4.punkts – MK nosaka “</w:t>
      </w:r>
      <w:r>
        <w:rPr>
          <w:rFonts w:ascii="Times New Roman" w:hAnsi="Times New Roman" w:cs="Times New Roman"/>
          <w:i/>
          <w:iCs/>
        </w:rPr>
        <w:t>gadījumus, kuros nav piemērojams šā panta 2.daļas 2.teikumā minētais pienākums</w:t>
      </w:r>
      <w:r>
        <w:rPr>
          <w:rFonts w:ascii="Times New Roman" w:hAnsi="Times New Roman" w:cs="Times New Roman"/>
        </w:rPr>
        <w:t>”. Projekta 5.panta otrās daļas otrais teikums paredz, ka “</w:t>
      </w:r>
      <w:r>
        <w:rPr>
          <w:rFonts w:ascii="Times New Roman" w:hAnsi="Times New Roman" w:cs="Times New Roman"/>
          <w:i/>
          <w:iCs/>
        </w:rPr>
        <w:t xml:space="preserve">Minēto būvniecības procesu ietvaros, ja degvielas </w:t>
      </w:r>
      <w:proofErr w:type="spellStart"/>
      <w:r>
        <w:rPr>
          <w:rFonts w:ascii="Times New Roman" w:hAnsi="Times New Roman" w:cs="Times New Roman"/>
          <w:i/>
          <w:iCs/>
        </w:rPr>
        <w:t>uzpildes</w:t>
      </w:r>
      <w:proofErr w:type="spellEnd"/>
      <w:r>
        <w:rPr>
          <w:rFonts w:ascii="Times New Roman" w:hAnsi="Times New Roman" w:cs="Times New Roman"/>
          <w:i/>
          <w:iCs/>
        </w:rPr>
        <w:t xml:space="preserve"> stacijas atrodas pie valsts galvenajiem autoceļiem, jāparedz vismaz viens elektroenerģijas uzlādes punkts atbilstoši</w:t>
      </w:r>
      <w:r>
        <w:rPr>
          <w:rFonts w:ascii="Times New Roman" w:hAnsi="Times New Roman" w:cs="Times New Roman"/>
        </w:rPr>
        <w:t xml:space="preserve"> </w:t>
      </w:r>
      <w:r>
        <w:rPr>
          <w:rFonts w:ascii="Times New Roman" w:hAnsi="Times New Roman" w:cs="Times New Roman"/>
          <w:i/>
          <w:iCs/>
        </w:rPr>
        <w:t xml:space="preserve">minētajiem kritērijiem </w:t>
      </w:r>
      <w:r>
        <w:rPr>
          <w:rFonts w:ascii="Times New Roman" w:hAnsi="Times New Roman" w:cs="Times New Roman"/>
          <w:i/>
          <w:iCs/>
          <w:u w:val="single"/>
        </w:rPr>
        <w:t>vai izņēmumiem</w:t>
      </w:r>
      <w:r>
        <w:rPr>
          <w:rFonts w:ascii="Times New Roman" w:hAnsi="Times New Roman" w:cs="Times New Roman"/>
          <w:i/>
          <w:iCs/>
        </w:rPr>
        <w:t xml:space="preserve"> un Ministru kabineta noteiktā kārtībā veiktajam </w:t>
      </w:r>
      <w:proofErr w:type="spellStart"/>
      <w:r>
        <w:rPr>
          <w:rFonts w:ascii="Times New Roman" w:hAnsi="Times New Roman" w:cs="Times New Roman"/>
          <w:i/>
          <w:iCs/>
        </w:rPr>
        <w:t>izvērtējumam</w:t>
      </w:r>
      <w:proofErr w:type="spellEnd"/>
      <w:r>
        <w:rPr>
          <w:rFonts w:ascii="Times New Roman" w:hAnsi="Times New Roman" w:cs="Times New Roman"/>
          <w:i/>
          <w:iCs/>
        </w:rPr>
        <w:t xml:space="preserve"> par elektroenerģijas uzlādes pieprasījumu</w:t>
      </w:r>
      <w:r>
        <w:rPr>
          <w:rFonts w:ascii="Times New Roman" w:hAnsi="Times New Roman" w:cs="Times New Roman"/>
        </w:rPr>
        <w:t xml:space="preserve">”. </w:t>
      </w:r>
    </w:p>
    <w:p w14:paraId="5772C4F4" w14:textId="77777777" w:rsidR="002D6B4E" w:rsidRDefault="002D6B4E" w:rsidP="002D6B4E">
      <w:pPr>
        <w:pStyle w:val="ListParagraph"/>
        <w:ind w:left="709" w:firstLine="11"/>
        <w:jc w:val="both"/>
        <w:rPr>
          <w:rFonts w:ascii="Times New Roman" w:hAnsi="Times New Roman" w:cs="Times New Roman"/>
        </w:rPr>
      </w:pPr>
      <w:r>
        <w:rPr>
          <w:rFonts w:ascii="Times New Roman" w:hAnsi="Times New Roman" w:cs="Times New Roman"/>
        </w:rPr>
        <w:t xml:space="preserve">Nav skaidra 5.panta septītās daļas 4.punkta nepieciešamība (noteikt izņēmumus no izņēmumiem), it īpaši ņemot vērā 5.panta septītās daļas 3.punktā jau ietverto pilnvarojumu Savukārt projekta 5.panta septītās daļas 3.punktā minētais pilnvarojums apsverams atbilstoši iepriekš šajā atzinumā minētajam būtiskuma kritērijam, proti, ka likumdevējs </w:t>
      </w:r>
      <w:r>
        <w:rPr>
          <w:rFonts w:ascii="Times New Roman" w:hAnsi="Times New Roman" w:cs="Times New Roman"/>
        </w:rPr>
        <w:lastRenderedPageBreak/>
        <w:t>pats regulē būtiskus jautājumus un jautājumus, kuros nepieciešama konceptuāla izšķiršanās. Lūdzam ņemt vērā arī iepriekš šajā atzinumā minēto, ka nebūtu pieļaujamas MK tiesības noteikt izņēmumus no likuma prasībām, jo tas būtībā pārkāpj varas dalīšanas principu.</w:t>
      </w:r>
    </w:p>
    <w:p w14:paraId="68FA96AF" w14:textId="77777777" w:rsidR="002D6B4E" w:rsidRDefault="002D6B4E" w:rsidP="002D6B4E">
      <w:pPr>
        <w:pStyle w:val="ListParagraph"/>
        <w:numPr>
          <w:ilvl w:val="0"/>
          <w:numId w:val="2"/>
        </w:numPr>
        <w:ind w:left="709" w:firstLine="11"/>
        <w:jc w:val="both"/>
        <w:rPr>
          <w:rFonts w:ascii="Times New Roman" w:hAnsi="Times New Roman" w:cs="Times New Roman"/>
        </w:rPr>
      </w:pPr>
      <w:r>
        <w:rPr>
          <w:rFonts w:ascii="Times New Roman" w:hAnsi="Times New Roman" w:cs="Times New Roman"/>
        </w:rPr>
        <w:t>Projekta 8.panta desmitās daļas 1.punkts – MK nosaka “līdzdalības mehānisma darbības nosacījumus”. Pilnvarojums jāskaidro vismaz projekta anotācijas IV sadaļā, jo tas ir ārkārtīgi plašs un nav skaidrs, kādus nosacījumus papildus projekta 6.pantā jau ietvertajiem MK varēs noteikt;</w:t>
      </w:r>
    </w:p>
    <w:p w14:paraId="7073B3CD" w14:textId="77777777" w:rsidR="002D6B4E" w:rsidRDefault="002D6B4E" w:rsidP="002D6B4E">
      <w:pPr>
        <w:pStyle w:val="ListParagraph"/>
        <w:numPr>
          <w:ilvl w:val="0"/>
          <w:numId w:val="2"/>
        </w:numPr>
        <w:ind w:left="709" w:firstLine="11"/>
        <w:jc w:val="both"/>
        <w:rPr>
          <w:rFonts w:ascii="Times New Roman" w:hAnsi="Times New Roman" w:cs="Times New Roman"/>
        </w:rPr>
      </w:pPr>
      <w:r>
        <w:rPr>
          <w:rFonts w:ascii="Times New Roman" w:hAnsi="Times New Roman" w:cs="Times New Roman"/>
        </w:rPr>
        <w:t>projekta 8.panta 12.daļa. Ņemam vērā Ekonomikas ministrijas sniegto skaidrojumu, proti, ka “</w:t>
      </w:r>
      <w:r>
        <w:rPr>
          <w:rFonts w:ascii="Times New Roman" w:hAnsi="Times New Roman" w:cs="Times New Roman"/>
          <w:i/>
          <w:iCs/>
        </w:rPr>
        <w:t>biodegvielas vai biogāze, kas ražota no likumprojekta pielikuma 2.punktā minētajām izejvielām, nav izmantojama degvielas piegādātājiem noteikto atjaunojamās transporta enerģijas mērķu izpildei (degvielas piegādātāji to nevar ieskaitīt noteiktajos mērķos), tomēr šādas biodegvielas vai biogāze būtu atļauta izmantošanai Latvijā arī, tai skaitā, lai izpildītu likumprojekta 9.pantā noteiktos pienākumus</w:t>
      </w:r>
      <w:r>
        <w:rPr>
          <w:rFonts w:ascii="Times New Roman" w:hAnsi="Times New Roman" w:cs="Times New Roman"/>
        </w:rPr>
        <w:t>.” Tomēr norādām, ka šis izziņā minētais regulējums no likumprojekta, tai skaitā no tā 8.panta, skaidri neizriet. Projekta pielikuma 2.punkts ir minēts tikai un vienīgi 9.panta 12.daļā, kas pēc precizēšanas paredz, ka “</w:t>
      </w:r>
      <w:r>
        <w:rPr>
          <w:rFonts w:ascii="Times New Roman" w:hAnsi="Times New Roman" w:cs="Times New Roman"/>
          <w:u w:val="single"/>
        </w:rPr>
        <w:t>Ministru kabinets var rosināt noteikt ierobežojumus</w:t>
      </w:r>
      <w:r>
        <w:rPr>
          <w:rFonts w:ascii="Times New Roman" w:hAnsi="Times New Roman" w:cs="Times New Roman"/>
        </w:rPr>
        <w:t xml:space="preserve"> to biodegvielu un biogāzes, kas ražota no pielikuma 2. punktā uzskaitītajām izejvielām, patēriņam, ņemot vērā šo izejvielu pieejamību”.</w:t>
      </w:r>
    </w:p>
    <w:p w14:paraId="21C5C5D2" w14:textId="77777777" w:rsidR="002D6B4E" w:rsidRDefault="002D6B4E" w:rsidP="002D6B4E">
      <w:pPr>
        <w:pStyle w:val="ListParagraph"/>
        <w:ind w:left="709" w:firstLine="11"/>
        <w:jc w:val="both"/>
        <w:rPr>
          <w:rFonts w:ascii="Times New Roman" w:hAnsi="Times New Roman" w:cs="Times New Roman"/>
        </w:rPr>
      </w:pPr>
      <w:r>
        <w:rPr>
          <w:rFonts w:ascii="Times New Roman" w:hAnsi="Times New Roman" w:cs="Times New Roman"/>
        </w:rPr>
        <w:t xml:space="preserve">Līdz ar to nepieciešams vai nu paredzēt projekta 8.pantā </w:t>
      </w:r>
      <w:proofErr w:type="spellStart"/>
      <w:r>
        <w:rPr>
          <w:rFonts w:ascii="Times New Roman" w:hAnsi="Times New Roman" w:cs="Times New Roman"/>
        </w:rPr>
        <w:t>pamatregulējumu</w:t>
      </w:r>
      <w:proofErr w:type="spellEnd"/>
      <w:r>
        <w:rPr>
          <w:rFonts w:ascii="Times New Roman" w:hAnsi="Times New Roman" w:cs="Times New Roman"/>
        </w:rPr>
        <w:t xml:space="preserve"> par degvielu, kas ražota no pielikuma 2.punktā minētajām izejvielām, izmantošanu (atbilstoši izziņā skaidrotajam), un atbilstoši tam Ministru kabineta tiesības noteikt ierobežojumus šādas degvielas patēriņam līdzdalības mehānisma izpildē, vai arī svītrojot projekta 8.panta 12.daļu. Turklāt vēršam uzmanību, ka projekta 8.panta 12.daļā ietvertais pilnvarojums precizējams arī no tāda viedokļa, ka jābūt skaidri saprotamam, ka Ministru kabinetam tiek dotas tiesības izdot ārēju normatīvo aktu (noteikumus). Šobrīd no projekta redakcijas tas nav saprotams, piemēram, nav skaidrs, kam Ministru kabinets rosina šādus ierobežojumus noteikt. </w:t>
      </w:r>
    </w:p>
    <w:p w14:paraId="3B42D6FE" w14:textId="77777777" w:rsidR="002D6B4E" w:rsidRDefault="002D6B4E" w:rsidP="002D6B4E">
      <w:pPr>
        <w:pStyle w:val="ListParagraph"/>
        <w:numPr>
          <w:ilvl w:val="0"/>
          <w:numId w:val="2"/>
        </w:numPr>
        <w:spacing w:before="120" w:after="120"/>
        <w:ind w:left="709" w:firstLine="0"/>
        <w:jc w:val="both"/>
        <w:rPr>
          <w:rFonts w:ascii="Times New Roman" w:hAnsi="Times New Roman" w:cs="Times New Roman"/>
        </w:rPr>
      </w:pPr>
      <w:bookmarkStart w:id="1" w:name="_Hlk67662407"/>
      <w:r>
        <w:rPr>
          <w:rFonts w:ascii="Times New Roman" w:hAnsi="Times New Roman" w:cs="Times New Roman"/>
        </w:rPr>
        <w:t xml:space="preserve">Projekta 10.panta devītās daļas </w:t>
      </w:r>
      <w:bookmarkEnd w:id="1"/>
      <w:r>
        <w:rPr>
          <w:rFonts w:ascii="Times New Roman" w:hAnsi="Times New Roman" w:cs="Times New Roman"/>
        </w:rPr>
        <w:t xml:space="preserve">4.punkts, kas paredz, ka MK nosaka “to personu loku, kam ir saistoši šā panta trešajā, ceturtajā un piektajā daļā noteiktie pienākumi” (sk. arī izziņas 23.punktā minēto iebildumu). Ņemot vērā, ka masas bilances ievērošana ir komplekss un būtisks personu pienākums, kā arī jau šobrīd projekta anotācijā un izziņā skaidroto, Tieslietu ministrijas ieskatā minētās personas tomēr jānosaka likumā (būtisks jautājums, kas jāizlemj pašam likumdevējam). </w:t>
      </w:r>
    </w:p>
    <w:p w14:paraId="0E3E8F9D" w14:textId="77777777" w:rsidR="002D6B4E" w:rsidRDefault="002D6B4E" w:rsidP="002D6B4E">
      <w:pPr>
        <w:pStyle w:val="ListParagraph"/>
        <w:numPr>
          <w:ilvl w:val="0"/>
          <w:numId w:val="2"/>
        </w:numPr>
        <w:ind w:left="709" w:firstLine="11"/>
        <w:jc w:val="both"/>
        <w:rPr>
          <w:rFonts w:ascii="Times New Roman" w:hAnsi="Times New Roman" w:cs="Times New Roman"/>
        </w:rPr>
      </w:pPr>
      <w:r>
        <w:rPr>
          <w:rFonts w:ascii="Times New Roman" w:hAnsi="Times New Roman" w:cs="Times New Roman"/>
        </w:rPr>
        <w:t>Projekta 10.panta devītās daļas 5.punkts – MK nosaka “kritēriju ieviešanas mehānismu un atbilstības minētajiem kritējiem pārbaudes, uzraudzības un kontroles nosacījumus un kārtību”. Minētais pilnvarojums kā minimums skaidrojams projekta anotācijas IV sadaļā, jo nav saprotams, ko plānots iekļaut šādos MK noteikumos.</w:t>
      </w:r>
    </w:p>
    <w:p w14:paraId="11183C80" w14:textId="77777777" w:rsidR="002D6B4E" w:rsidRDefault="002D6B4E" w:rsidP="002D6B4E">
      <w:pPr>
        <w:pStyle w:val="ListParagraph"/>
        <w:numPr>
          <w:ilvl w:val="0"/>
          <w:numId w:val="2"/>
        </w:numPr>
        <w:ind w:left="709" w:firstLine="11"/>
        <w:jc w:val="both"/>
        <w:rPr>
          <w:rStyle w:val="normaltextrun"/>
        </w:rPr>
      </w:pPr>
      <w:r>
        <w:rPr>
          <w:rFonts w:ascii="Times New Roman" w:hAnsi="Times New Roman" w:cs="Times New Roman"/>
        </w:rPr>
        <w:t xml:space="preserve"> projekta 12. panta ceturtajā daļā pilnvarojums Ministru kabinetam noteikt </w:t>
      </w:r>
      <w:r>
        <w:rPr>
          <w:rFonts w:ascii="Times New Roman" w:hAnsi="Times New Roman" w:cs="Times New Roman"/>
          <w:u w:val="single"/>
        </w:rPr>
        <w:t>uzraudzības</w:t>
      </w:r>
      <w:r>
        <w:rPr>
          <w:rFonts w:ascii="Times New Roman" w:hAnsi="Times New Roman" w:cs="Times New Roman"/>
        </w:rPr>
        <w:t xml:space="preserve"> "nosacījumus un kārtību", kā arī “transporta enerģijas tirgus uzraudzības nosacījumus”. Nav skaidrs, kas ir domāts ar "nosacījumiem", tomēr jānorāda, ka uzraudzība tipiski būtu regulējama likumā, kā arī nevarētu būt paredzēti sodoša vai kriminālprocesam raksturīgi uzraudzības pasākumi;</w:t>
      </w:r>
    </w:p>
    <w:p w14:paraId="69D5B265" w14:textId="77777777" w:rsidR="002D6B4E" w:rsidRDefault="002D6B4E" w:rsidP="002D6B4E">
      <w:pPr>
        <w:pStyle w:val="ListParagraph"/>
        <w:ind w:left="774"/>
        <w:jc w:val="both"/>
      </w:pPr>
    </w:p>
    <w:p w14:paraId="4629B9DD" w14:textId="77777777" w:rsidR="002D6B4E" w:rsidRDefault="002D6B4E" w:rsidP="002D6B4E">
      <w:pPr>
        <w:pStyle w:val="ListParagraph"/>
        <w:numPr>
          <w:ilvl w:val="0"/>
          <w:numId w:val="1"/>
        </w:numPr>
        <w:ind w:left="0" w:firstLine="709"/>
        <w:jc w:val="both"/>
        <w:rPr>
          <w:rFonts w:ascii="Times New Roman" w:hAnsi="Times New Roman" w:cs="Times New Roman"/>
        </w:rPr>
      </w:pPr>
      <w:bookmarkStart w:id="2" w:name="_GoBack"/>
      <w:r>
        <w:rPr>
          <w:rFonts w:ascii="Times New Roman" w:hAnsi="Times New Roman" w:cs="Times New Roman"/>
        </w:rPr>
        <w:t>Lūdzam precizēt projekta 10.panta piektajā daļā nosacījumu “</w:t>
      </w:r>
      <w:r>
        <w:rPr>
          <w:rFonts w:ascii="Times New Roman" w:hAnsi="Times New Roman" w:cs="Times New Roman"/>
          <w:i/>
          <w:iCs/>
          <w:lang w:eastAsia="lv-LV"/>
        </w:rPr>
        <w:t>vai sūtījuma ražošanai ir ticis sniegts atbalsts, un, ja tā ir, atbalsta shēmas tips.”</w:t>
      </w:r>
      <w:r>
        <w:rPr>
          <w:rFonts w:ascii="Times New Roman" w:hAnsi="Times New Roman" w:cs="Times New Roman"/>
          <w:lang w:eastAsia="lv-LV"/>
        </w:rPr>
        <w:t xml:space="preserve"> Norādām, ka nav skaidrs, kas šīs normas izpratnē ir “sūtījums”, kā arī, vai ar atbalstu ir jāsaprot valsts atbalsts (Līguma par Eiropas Savienības darbību 107.panta izpratnē).</w:t>
      </w:r>
    </w:p>
    <w:bookmarkEnd w:id="2"/>
    <w:p w14:paraId="49CC1FB6" w14:textId="77777777" w:rsidR="002D6B4E" w:rsidRDefault="002D6B4E" w:rsidP="002D6B4E">
      <w:pPr>
        <w:pStyle w:val="ListParagraph"/>
        <w:ind w:left="709"/>
        <w:jc w:val="both"/>
        <w:rPr>
          <w:rFonts w:ascii="Times New Roman" w:hAnsi="Times New Roman" w:cs="Times New Roman"/>
        </w:rPr>
      </w:pPr>
    </w:p>
    <w:p w14:paraId="36E96D72" w14:textId="77777777" w:rsidR="002D6B4E" w:rsidRDefault="002D6B4E" w:rsidP="002D6B4E">
      <w:pPr>
        <w:pStyle w:val="ListParagraph"/>
        <w:numPr>
          <w:ilvl w:val="0"/>
          <w:numId w:val="1"/>
        </w:numPr>
        <w:ind w:left="0" w:firstLine="720"/>
        <w:jc w:val="both"/>
        <w:rPr>
          <w:rFonts w:ascii="Times New Roman" w:hAnsi="Times New Roman" w:cs="Times New Roman"/>
        </w:rPr>
      </w:pPr>
      <w:r>
        <w:rPr>
          <w:rFonts w:ascii="Times New Roman" w:hAnsi="Times New Roman" w:cs="Times New Roman"/>
        </w:rPr>
        <w:t xml:space="preserve"> Projekta 13. pants paredz, ka par projekta 8. panta ceturtajā daļā, 8. panta piektajā daļā vai 9. panta pirmajā daļā noteiktā pienākuma neizpildi degvielas piegādātājam Ministru </w:t>
      </w:r>
      <w:r>
        <w:rPr>
          <w:rFonts w:ascii="Times New Roman" w:hAnsi="Times New Roman" w:cs="Times New Roman"/>
        </w:rPr>
        <w:lastRenderedPageBreak/>
        <w:t xml:space="preserve">kabineta noteikta institūcija pieņem lēmumu, kurā nosaka pienākumu degvielas piegādātājam veikt noteikta apmēra maksājumu valsts budžetā. </w:t>
      </w:r>
    </w:p>
    <w:p w14:paraId="34189092" w14:textId="77777777" w:rsidR="002D6B4E" w:rsidRDefault="002D6B4E" w:rsidP="002D6B4E">
      <w:pPr>
        <w:jc w:val="both"/>
        <w:rPr>
          <w:rFonts w:ascii="Times New Roman" w:hAnsi="Times New Roman" w:cs="Times New Roman"/>
        </w:rPr>
      </w:pPr>
      <w:r>
        <w:rPr>
          <w:rFonts w:ascii="Times New Roman" w:hAnsi="Times New Roman" w:cs="Times New Roman"/>
        </w:rPr>
        <w:t>            3.1. Tieslietu ministrijas iepriekšējā atzinumā bija norādīts, ka ir nepieciešams izvērtēt šādu maksājumu atbilstību administratīvajai atbildībai līdzīgiem piespiedu ietekmēšanas līdzekļiem jeb sodoša (krimināltiesiska) rakstura administratīvajām sankcijām. Vienkāršoti sakot, nepieciešams atbildēt uz jautājumu, vai minētais maksājums nav sods?</w:t>
      </w:r>
    </w:p>
    <w:p w14:paraId="2D6F08EE" w14:textId="77777777" w:rsidR="002D6B4E" w:rsidRDefault="002D6B4E" w:rsidP="002D6B4E">
      <w:pPr>
        <w:jc w:val="both"/>
        <w:rPr>
          <w:rFonts w:ascii="Times New Roman" w:hAnsi="Times New Roman" w:cs="Times New Roman"/>
        </w:rPr>
      </w:pPr>
      <w:r>
        <w:rPr>
          <w:rFonts w:ascii="Times New Roman" w:hAnsi="Times New Roman" w:cs="Times New Roman"/>
        </w:rPr>
        <w:t>            Projekta anotācija ir papildināta, tomēr nav pienācīgi izvērtēti visi kritēriji, kā arī tajā minētie apgalvojumi par sankcijas preventīvo mērķi paši par sevi neizslēdz sodošā elementa esību.</w:t>
      </w:r>
    </w:p>
    <w:p w14:paraId="17B66EC6" w14:textId="77777777" w:rsidR="002D6B4E" w:rsidRDefault="002D6B4E" w:rsidP="002D6B4E">
      <w:pPr>
        <w:ind w:firstLine="720"/>
        <w:jc w:val="both"/>
        <w:rPr>
          <w:rFonts w:ascii="Times New Roman" w:hAnsi="Times New Roman" w:cs="Times New Roman"/>
          <w:lang w:eastAsia="en-GB"/>
        </w:rPr>
      </w:pPr>
      <w:r>
        <w:rPr>
          <w:rFonts w:ascii="Times New Roman" w:hAnsi="Times New Roman" w:cs="Times New Roman"/>
          <w:lang w:eastAsia="en-GB"/>
        </w:rPr>
        <w:t>Kā Tieslietu ministrija iepriekš ir norādījusi, lai noskaidrotu, vai paredzētie pasākumi atbilst soda jeb krimināltiesiska rakstura administratīvo sankciju pazīmēm, pamatā izmantojami Eiropas Cilvēktiesību tiesas un Eiropas Savienības Tiesas judikatūrā attīstītie kritēriji (</w:t>
      </w:r>
      <w:r>
        <w:rPr>
          <w:rFonts w:ascii="Times New Roman" w:hAnsi="Times New Roman" w:cs="Times New Roman"/>
          <w:i/>
          <w:iCs/>
          <w:lang w:eastAsia="en-GB"/>
        </w:rPr>
        <w:t xml:space="preserve">sk., piemēram, ģenerāladvokāta Manuela </w:t>
      </w:r>
      <w:proofErr w:type="spellStart"/>
      <w:r>
        <w:rPr>
          <w:rFonts w:ascii="Times New Roman" w:hAnsi="Times New Roman" w:cs="Times New Roman"/>
          <w:i/>
          <w:iCs/>
          <w:lang w:eastAsia="en-GB"/>
        </w:rPr>
        <w:t>Kamposa</w:t>
      </w:r>
      <w:proofErr w:type="spellEnd"/>
      <w:r>
        <w:rPr>
          <w:rFonts w:ascii="Times New Roman" w:hAnsi="Times New Roman" w:cs="Times New Roman"/>
          <w:i/>
          <w:iCs/>
          <w:lang w:eastAsia="en-GB"/>
        </w:rPr>
        <w:t xml:space="preserve"> Sančesa-</w:t>
      </w:r>
      <w:proofErr w:type="spellStart"/>
      <w:r>
        <w:rPr>
          <w:rFonts w:ascii="Times New Roman" w:hAnsi="Times New Roman" w:cs="Times New Roman"/>
          <w:i/>
          <w:iCs/>
          <w:lang w:eastAsia="en-GB"/>
        </w:rPr>
        <w:t>Bordonas</w:t>
      </w:r>
      <w:proofErr w:type="spellEnd"/>
      <w:r>
        <w:rPr>
          <w:rFonts w:ascii="Times New Roman" w:hAnsi="Times New Roman" w:cs="Times New Roman"/>
          <w:i/>
          <w:iCs/>
          <w:lang w:eastAsia="en-GB"/>
        </w:rPr>
        <w:t xml:space="preserve"> secinājumu, sniegti 2017. gada 12. septembrī, lietā C-524/15 47. punktu; </w:t>
      </w:r>
      <w:proofErr w:type="spellStart"/>
      <w:r>
        <w:rPr>
          <w:rFonts w:ascii="Times New Roman" w:hAnsi="Times New Roman" w:cs="Times New Roman"/>
          <w:i/>
          <w:iCs/>
          <w:lang w:eastAsia="en-GB"/>
        </w:rPr>
        <w:t>ģenerāladvokātes</w:t>
      </w:r>
      <w:proofErr w:type="spellEnd"/>
      <w:r>
        <w:rPr>
          <w:rFonts w:ascii="Times New Roman" w:hAnsi="Times New Roman" w:cs="Times New Roman"/>
          <w:i/>
          <w:iCs/>
          <w:lang w:eastAsia="en-GB"/>
        </w:rPr>
        <w:t xml:space="preserve"> </w:t>
      </w:r>
      <w:proofErr w:type="spellStart"/>
      <w:r>
        <w:rPr>
          <w:rFonts w:ascii="Times New Roman" w:hAnsi="Times New Roman" w:cs="Times New Roman"/>
          <w:i/>
          <w:iCs/>
          <w:lang w:eastAsia="en-GB"/>
        </w:rPr>
        <w:t>Julianas</w:t>
      </w:r>
      <w:proofErr w:type="spellEnd"/>
      <w:r>
        <w:rPr>
          <w:rFonts w:ascii="Times New Roman" w:hAnsi="Times New Roman" w:cs="Times New Roman"/>
          <w:i/>
          <w:iCs/>
          <w:lang w:eastAsia="en-GB"/>
        </w:rPr>
        <w:t xml:space="preserve"> </w:t>
      </w:r>
      <w:proofErr w:type="spellStart"/>
      <w:r>
        <w:rPr>
          <w:rFonts w:ascii="Times New Roman" w:hAnsi="Times New Roman" w:cs="Times New Roman"/>
          <w:i/>
          <w:iCs/>
          <w:lang w:eastAsia="en-GB"/>
        </w:rPr>
        <w:t>Kokotes</w:t>
      </w:r>
      <w:proofErr w:type="spellEnd"/>
      <w:r>
        <w:rPr>
          <w:rFonts w:ascii="Times New Roman" w:hAnsi="Times New Roman" w:cs="Times New Roman"/>
          <w:i/>
          <w:iCs/>
          <w:lang w:eastAsia="en-GB"/>
        </w:rPr>
        <w:t xml:space="preserve"> secinājumu, sniegti 2011. gada 15. decembrī, lietā C-489/10 71. punktu</w:t>
      </w:r>
      <w:r>
        <w:rPr>
          <w:rFonts w:ascii="Times New Roman" w:hAnsi="Times New Roman" w:cs="Times New Roman"/>
          <w:lang w:eastAsia="en-GB"/>
        </w:rPr>
        <w:t>): </w:t>
      </w:r>
    </w:p>
    <w:p w14:paraId="4CC47360" w14:textId="77777777" w:rsidR="002D6B4E" w:rsidRDefault="002D6B4E" w:rsidP="002D6B4E">
      <w:pPr>
        <w:ind w:firstLine="720"/>
        <w:jc w:val="both"/>
        <w:rPr>
          <w:rFonts w:ascii="Times New Roman" w:hAnsi="Times New Roman" w:cs="Times New Roman"/>
          <w:lang w:eastAsia="en-GB"/>
        </w:rPr>
      </w:pPr>
      <w:r>
        <w:rPr>
          <w:rFonts w:ascii="Times New Roman" w:hAnsi="Times New Roman" w:cs="Times New Roman"/>
          <w:lang w:eastAsia="en-GB"/>
        </w:rPr>
        <w:t>1) vai tā ir institūcijas reakcija uz personas izdarītu tiesību aktu pārkāpumu; </w:t>
      </w:r>
    </w:p>
    <w:p w14:paraId="278B14B9" w14:textId="77777777" w:rsidR="002D6B4E" w:rsidRDefault="002D6B4E" w:rsidP="002D6B4E">
      <w:pPr>
        <w:ind w:firstLine="720"/>
        <w:jc w:val="both"/>
        <w:rPr>
          <w:rFonts w:ascii="Times New Roman" w:hAnsi="Times New Roman" w:cs="Times New Roman"/>
          <w:lang w:eastAsia="en-GB"/>
        </w:rPr>
      </w:pPr>
      <w:r>
        <w:rPr>
          <w:rFonts w:ascii="Times New Roman" w:hAnsi="Times New Roman" w:cs="Times New Roman"/>
          <w:lang w:eastAsia="en-GB"/>
        </w:rPr>
        <w:t>2) pārkāpuma raksturs: </w:t>
      </w:r>
    </w:p>
    <w:p w14:paraId="1DA6D7CC" w14:textId="77777777" w:rsidR="002D6B4E" w:rsidRDefault="002D6B4E" w:rsidP="002D6B4E">
      <w:pPr>
        <w:ind w:firstLine="720"/>
        <w:jc w:val="both"/>
        <w:rPr>
          <w:rFonts w:ascii="Times New Roman" w:hAnsi="Times New Roman" w:cs="Times New Roman"/>
          <w:lang w:eastAsia="en-GB"/>
        </w:rPr>
      </w:pPr>
      <w:r>
        <w:rPr>
          <w:rFonts w:ascii="Times New Roman" w:hAnsi="Times New Roman" w:cs="Times New Roman"/>
          <w:lang w:eastAsia="en-GB"/>
        </w:rPr>
        <w:t>a) attiecīgā regulējuma adresāti (ja tas ir vērsts uz sabiedrību kopumā, nevis uz stingri noteiktu adresātu grupu, tam parasti būs "krimināltiesisks raksturs");  </w:t>
      </w:r>
    </w:p>
    <w:p w14:paraId="24B177BD" w14:textId="77777777" w:rsidR="002D6B4E" w:rsidRDefault="002D6B4E" w:rsidP="002D6B4E">
      <w:pPr>
        <w:ind w:firstLine="720"/>
        <w:jc w:val="both"/>
        <w:rPr>
          <w:rFonts w:ascii="Times New Roman" w:hAnsi="Times New Roman" w:cs="Times New Roman"/>
          <w:lang w:eastAsia="en-GB"/>
        </w:rPr>
      </w:pPr>
      <w:r>
        <w:rPr>
          <w:rFonts w:ascii="Times New Roman" w:hAnsi="Times New Roman" w:cs="Times New Roman"/>
          <w:lang w:eastAsia="en-GB"/>
        </w:rPr>
        <w:t xml:space="preserve">b) normas mērķis (pārkāpumam nebūs krimināltiesiska rakstura, ja sankcija ir paredzēta kaitējuma atlīdzināšanai vai tamlīdzīgi, bet būs krimināltiesisks raksturs, ja atbildība tiks noteikta represijas un </w:t>
      </w:r>
      <w:proofErr w:type="spellStart"/>
      <w:r>
        <w:rPr>
          <w:rFonts w:ascii="Times New Roman" w:hAnsi="Times New Roman" w:cs="Times New Roman"/>
          <w:lang w:eastAsia="en-GB"/>
        </w:rPr>
        <w:t>prevencijas</w:t>
      </w:r>
      <w:proofErr w:type="spellEnd"/>
      <w:r>
        <w:rPr>
          <w:rFonts w:ascii="Times New Roman" w:hAnsi="Times New Roman" w:cs="Times New Roman"/>
          <w:lang w:eastAsia="en-GB"/>
        </w:rPr>
        <w:t xml:space="preserve"> nolūkā); </w:t>
      </w:r>
    </w:p>
    <w:p w14:paraId="474B6434" w14:textId="77777777" w:rsidR="002D6B4E" w:rsidRDefault="002D6B4E" w:rsidP="002D6B4E">
      <w:pPr>
        <w:ind w:firstLine="720"/>
        <w:jc w:val="both"/>
        <w:rPr>
          <w:rFonts w:ascii="Times New Roman" w:hAnsi="Times New Roman" w:cs="Times New Roman"/>
          <w:lang w:eastAsia="en-GB"/>
        </w:rPr>
      </w:pPr>
      <w:r>
        <w:rPr>
          <w:rFonts w:ascii="Times New Roman" w:hAnsi="Times New Roman" w:cs="Times New Roman"/>
          <w:lang w:eastAsia="en-GB"/>
        </w:rPr>
        <w:t>c) tiesiski aizsargātās intereses (ja normas mērķis ir nodrošināt tiesiskās intereses, kuru aizsardzība parasti ir garantēta ar krimināltiesību normām, tai būs krimināltiesisks raksturs); </w:t>
      </w:r>
    </w:p>
    <w:p w14:paraId="324FF0DD" w14:textId="77777777" w:rsidR="002D6B4E" w:rsidRDefault="002D6B4E" w:rsidP="002D6B4E">
      <w:pPr>
        <w:ind w:firstLine="720"/>
        <w:jc w:val="both"/>
        <w:rPr>
          <w:rFonts w:ascii="Times New Roman" w:hAnsi="Times New Roman" w:cs="Times New Roman"/>
          <w:lang w:eastAsia="en-GB"/>
        </w:rPr>
      </w:pPr>
      <w:r>
        <w:rPr>
          <w:rFonts w:ascii="Times New Roman" w:hAnsi="Times New Roman" w:cs="Times New Roman"/>
          <w:lang w:eastAsia="en-GB"/>
        </w:rPr>
        <w:t>3) sankcijas bardzība (draudošo negatīvo seku kopējais smagums, tostarp nelabvēlīgas ekonomiskās sekas, apdraudējums kādām no attiecīgās personas aizsargājamajām interesēm). </w:t>
      </w:r>
    </w:p>
    <w:p w14:paraId="3FD81D2F" w14:textId="77777777" w:rsidR="002D6B4E" w:rsidRDefault="002D6B4E" w:rsidP="002D6B4E">
      <w:pPr>
        <w:jc w:val="both"/>
        <w:rPr>
          <w:rFonts w:ascii="Times New Roman" w:hAnsi="Times New Roman" w:cs="Times New Roman"/>
        </w:rPr>
      </w:pPr>
      <w:r>
        <w:rPr>
          <w:rFonts w:ascii="Times New Roman" w:hAnsi="Times New Roman" w:cs="Times New Roman"/>
        </w:rPr>
        <w:t>            Otrais un trešais kritērijs ir alternatīvi (pietiek, ja tiek konstatēta atbilstība kaut vienam no šiem kritērijiem). Piemēram, sankcijas bardzība ne vienmēr ir izšķiroša. Ja attiecīgā sankcija pēc sava rakstura un būtības atbilst otrajam kritērijam, tās smagumam nav jāsasniedz trešajā kritērijā paredzētais apmērs, lai to varētu atzīt par krimināltiesiska rakstura sankciju (</w:t>
      </w:r>
      <w:r>
        <w:rPr>
          <w:rFonts w:ascii="Times New Roman" w:hAnsi="Times New Roman" w:cs="Times New Roman"/>
          <w:i/>
          <w:iCs/>
        </w:rPr>
        <w:t>Satversmes tiesas 2013. gada 28. marta sprieduma lietā Nr. 2012-15-01 13.2.2. punkts</w:t>
      </w:r>
      <w:r>
        <w:rPr>
          <w:rFonts w:ascii="Times New Roman" w:hAnsi="Times New Roman" w:cs="Times New Roman"/>
        </w:rPr>
        <w:t>). Ja katra atsevišķa kritērija izvērtēšanas rezultātā nav iespējams nonākt pie skaidra secinājuma, tad šo kritēriju pārbaudē pieļaujams izmantot arī kumulatīvu pieeju (</w:t>
      </w:r>
      <w:r>
        <w:rPr>
          <w:rFonts w:ascii="Times New Roman" w:hAnsi="Times New Roman" w:cs="Times New Roman"/>
          <w:i/>
          <w:iCs/>
        </w:rPr>
        <w:t>Satversmes tiesas 2017. gada 15. marta sprieduma lietā Nr. 2017-16-01 9.2. punkts</w:t>
      </w:r>
      <w:r>
        <w:rPr>
          <w:rFonts w:ascii="Times New Roman" w:hAnsi="Times New Roman" w:cs="Times New Roman"/>
        </w:rPr>
        <w:t>).</w:t>
      </w:r>
    </w:p>
    <w:p w14:paraId="60E4782D" w14:textId="77777777" w:rsidR="002D6B4E" w:rsidRDefault="002D6B4E" w:rsidP="002D6B4E">
      <w:pPr>
        <w:jc w:val="both"/>
        <w:rPr>
          <w:rFonts w:ascii="Times New Roman" w:hAnsi="Times New Roman" w:cs="Times New Roman"/>
        </w:rPr>
      </w:pPr>
      <w:r>
        <w:rPr>
          <w:rFonts w:ascii="Times New Roman" w:hAnsi="Times New Roman" w:cs="Times New Roman"/>
        </w:rPr>
        <w:t xml:space="preserve">            Projektā anotācijā liela uzmanība veltīta dalībvalsts pienākumiem, kam šajā aspektā nav nekādas nozīmes. Pieņemot, ka regulējuma adresāti ir degvielas piegādātāji, tad šajā gadījumā tā nebūs stingri noteikta (ierobežota, noslēgta, brīvprātīga) personu grupa. Līdz ar to šis kritērijs nebūs pamatojums soda </w:t>
      </w:r>
      <w:proofErr w:type="spellStart"/>
      <w:r>
        <w:rPr>
          <w:rFonts w:ascii="Times New Roman" w:hAnsi="Times New Roman" w:cs="Times New Roman"/>
        </w:rPr>
        <w:t>neesībai</w:t>
      </w:r>
      <w:proofErr w:type="spellEnd"/>
      <w:r>
        <w:rPr>
          <w:rFonts w:ascii="Times New Roman" w:hAnsi="Times New Roman" w:cs="Times New Roman"/>
        </w:rPr>
        <w:t>. Tāpat no projekta anotācijas secināms, ka ir mēģināts pamatot, ka sankcijai piemīt vien preventīvs, nevis represīvs (sodošs) mērķis. Nenoliedzam, ka sankcijai ir preventīvs mērķis, tomēr jebkurš sods ir preventīvs (atturošs). Preventīvais mērķis pats par sevi izriet tieši no sodīšanas (</w:t>
      </w:r>
      <w:r>
        <w:rPr>
          <w:rFonts w:ascii="Times New Roman" w:hAnsi="Times New Roman" w:cs="Times New Roman"/>
          <w:i/>
          <w:iCs/>
        </w:rPr>
        <w:t xml:space="preserve">Ģenerāladvokāta Manuela </w:t>
      </w:r>
      <w:proofErr w:type="spellStart"/>
      <w:r>
        <w:rPr>
          <w:rFonts w:ascii="Times New Roman" w:hAnsi="Times New Roman" w:cs="Times New Roman"/>
          <w:i/>
          <w:iCs/>
        </w:rPr>
        <w:t>Kamposa</w:t>
      </w:r>
      <w:proofErr w:type="spellEnd"/>
      <w:r>
        <w:rPr>
          <w:rFonts w:ascii="Times New Roman" w:hAnsi="Times New Roman" w:cs="Times New Roman"/>
          <w:i/>
          <w:iCs/>
        </w:rPr>
        <w:t xml:space="preserve"> Sančesa-</w:t>
      </w:r>
      <w:proofErr w:type="spellStart"/>
      <w:r>
        <w:rPr>
          <w:rFonts w:ascii="Times New Roman" w:hAnsi="Times New Roman" w:cs="Times New Roman"/>
          <w:i/>
          <w:iCs/>
        </w:rPr>
        <w:t>Bordonas</w:t>
      </w:r>
      <w:proofErr w:type="spellEnd"/>
      <w:r>
        <w:rPr>
          <w:rFonts w:ascii="Times New Roman" w:hAnsi="Times New Roman" w:cs="Times New Roman"/>
          <w:i/>
          <w:iCs/>
        </w:rPr>
        <w:t xml:space="preserve"> secinājumu, sniegti 2017. gada 12. septembrī, lietā C-524/15 113. punkts</w:t>
      </w:r>
      <w:r>
        <w:rPr>
          <w:rFonts w:ascii="Times New Roman" w:hAnsi="Times New Roman" w:cs="Times New Roman"/>
        </w:rPr>
        <w:t xml:space="preserve">). Tas nozīmē, ka preventīvā elementa klātbūtne neizslēdz sodošā (represīvā) elementa esību. Līdz ar to būtu nepieciešams pamatojums, ka projektā paredzētai sankcijai nepiemīt (arī) sodošs raksturs. </w:t>
      </w:r>
    </w:p>
    <w:p w14:paraId="37E349F6" w14:textId="77777777" w:rsidR="002D6B4E" w:rsidRDefault="002D6B4E" w:rsidP="002D6B4E">
      <w:pPr>
        <w:jc w:val="both"/>
        <w:rPr>
          <w:rFonts w:ascii="Times New Roman" w:hAnsi="Times New Roman" w:cs="Times New Roman"/>
        </w:rPr>
      </w:pPr>
      <w:r>
        <w:rPr>
          <w:rFonts w:ascii="Times New Roman" w:hAnsi="Times New Roman" w:cs="Times New Roman"/>
        </w:rPr>
        <w:t>            Sankcijas bardzība kā soda kritērijs nav saistīts ar dalībvalsts iespējamu atbildību par direktīvā noteiktā pienākuma neizpildi. Tas ir jautājums par sankcijas veidu un smagumu attiecībā pret personu, kurai potenciāli varētu piemērot attiecīgo sankciju. Sankcijas bardzība aptver soda potenciālo ietekmi uz konkrēto personu, kas ir atkarīga no soda veida (piemēram, naudas sods, tiesību ierobežošana), paredzētā soda iespējamās augstākās robežas un tā piemērošanas īpatnībām. Šis kritērijs aptver personai draudošo negatīvo seku kopējo smagumu (</w:t>
      </w:r>
      <w:r>
        <w:rPr>
          <w:rFonts w:ascii="Times New Roman" w:hAnsi="Times New Roman" w:cs="Times New Roman"/>
          <w:i/>
          <w:iCs/>
        </w:rPr>
        <w:t>Satversmes tiesas 2008. gada 5. novembra sprieduma lietā Nr. 2008-04-01 10.1.3. punkts</w:t>
      </w:r>
      <w:r>
        <w:rPr>
          <w:rFonts w:ascii="Times New Roman" w:hAnsi="Times New Roman" w:cs="Times New Roman"/>
        </w:rPr>
        <w:t>). Tas nav arī saistīts ar to, kāds naudas soda apmērs ir paredzēts Administratīvās atbildības likumā (vienlaikus gan vēršam uzmanību uz šā likuma 16. panta sesto daļu).</w:t>
      </w:r>
    </w:p>
    <w:p w14:paraId="259946A0" w14:textId="77777777" w:rsidR="002D6B4E" w:rsidRDefault="002D6B4E" w:rsidP="002D6B4E">
      <w:pPr>
        <w:jc w:val="both"/>
        <w:rPr>
          <w:rFonts w:ascii="Times New Roman" w:hAnsi="Times New Roman" w:cs="Times New Roman"/>
        </w:rPr>
      </w:pPr>
      <w:r>
        <w:rPr>
          <w:rFonts w:ascii="Times New Roman" w:hAnsi="Times New Roman" w:cs="Times New Roman"/>
        </w:rPr>
        <w:t xml:space="preserve">            Ievērojot minēto, no projekta anotācijā ietvertā pamatojuma neizriet, ka projekta 13. pantā nav paredzēta sodoša (krimināltiesiska) rakstura administratīva sankcija. Tieslietu ministrija neatbalsta jaunu šāda veida sankciju veidošanu. Ārpus administratīvās atbildības sistēmas turklāt nav piemērota procesa regulējuma sodoša rakstura administratīvo sankciju piemērošanai. Administratīvā procesa regulējums nav veidots, balstoties uz sodu un sodoša rakstura administratīvo sankciju piemērošanas procesam raksturīgajiem principiem. Tā pamatā ir pavisam atšķirīga veida tiesiskās attiecības valsts pārvaldē. Līdz ar </w:t>
      </w:r>
      <w:r>
        <w:rPr>
          <w:rFonts w:ascii="Times New Roman" w:hAnsi="Times New Roman" w:cs="Times New Roman"/>
        </w:rPr>
        <w:lastRenderedPageBreak/>
        <w:t>to sankciju piemērošanas process nav pienācīgi noregulēts. Sodošiem pasākumiem ir izmantojama Administratīvās atbildības likuma izveidotās administratīvās atbildības sistēma.</w:t>
      </w:r>
    </w:p>
    <w:p w14:paraId="04371CF4" w14:textId="77777777" w:rsidR="002D6B4E" w:rsidRDefault="002D6B4E" w:rsidP="002D6B4E">
      <w:pPr>
        <w:jc w:val="both"/>
        <w:rPr>
          <w:rFonts w:ascii="Times New Roman" w:hAnsi="Times New Roman" w:cs="Times New Roman"/>
        </w:rPr>
      </w:pPr>
      <w:r>
        <w:rPr>
          <w:rFonts w:ascii="Times New Roman" w:hAnsi="Times New Roman" w:cs="Times New Roman"/>
        </w:rPr>
        <w:t xml:space="preserve">            3.2. Projekta anotācija nav atrodams izvērtējums par iespēju risināt konkrēto </w:t>
      </w:r>
      <w:proofErr w:type="spellStart"/>
      <w:r>
        <w:rPr>
          <w:rFonts w:ascii="Times New Roman" w:hAnsi="Times New Roman" w:cs="Times New Roman"/>
        </w:rPr>
        <w:t>problēmsituāciju</w:t>
      </w:r>
      <w:proofErr w:type="spellEnd"/>
      <w:r>
        <w:rPr>
          <w:rFonts w:ascii="Times New Roman" w:hAnsi="Times New Roman" w:cs="Times New Roman"/>
        </w:rPr>
        <w:t>, izmantojot ne-sodoša rakstura administratīvos līdzekļus.</w:t>
      </w:r>
    </w:p>
    <w:p w14:paraId="515E724A" w14:textId="77777777" w:rsidR="002D6B4E" w:rsidRDefault="002D6B4E" w:rsidP="002D6B4E">
      <w:pPr>
        <w:jc w:val="both"/>
        <w:rPr>
          <w:rFonts w:ascii="Times New Roman" w:hAnsi="Times New Roman" w:cs="Times New Roman"/>
        </w:rPr>
      </w:pPr>
      <w:r>
        <w:rPr>
          <w:rFonts w:ascii="Times New Roman" w:hAnsi="Times New Roman" w:cs="Times New Roman"/>
        </w:rPr>
        <w:t>            3.3. Atkārtoti norādām, ka nacionālajos tiesību aktos nav pamatoti paredzēt lielākus naudas sodus, nekā pamatā tiek paredzēts par šādiem pārkāpumiem, ievērojot vien to, ka Eiropas Savienības tiesību akti paredz noteikt "samērīgas, atturošas un efektīvas sankcijas". Minēto sankciju ieviešana nacionālajās tiesībās ir jāvērtē esošās sistēmas ietvaros, turklāt ne tikai sodošās sistēmas ietvaros (administratīvā pārkāpuma process, kriminālprocess), bet arī, piemēram, administratīvā procesa ietvaros. Norādām, ka arī administratīvā akta un tā nosacījumu (uzdevumu) piespiedu izpilde, administratīvā akta (atļaujas, licences, u.tml.) apturēšana vai tamlīdzīga rakstura pasākumi arī var tikt uzskatītas par samērīgām, atturošām un efektīvām sankcijām.</w:t>
      </w:r>
    </w:p>
    <w:p w14:paraId="2F535CD2" w14:textId="77777777" w:rsidR="002D6B4E" w:rsidRDefault="002D6B4E" w:rsidP="002D6B4E">
      <w:pPr>
        <w:jc w:val="both"/>
        <w:rPr>
          <w:rFonts w:ascii="Times New Roman" w:hAnsi="Times New Roman" w:cs="Times New Roman"/>
        </w:rPr>
      </w:pPr>
      <w:r>
        <w:rPr>
          <w:rFonts w:ascii="Times New Roman" w:hAnsi="Times New Roman" w:cs="Times New Roman"/>
        </w:rPr>
        <w:t>            3.4. Ievērojot visu iepriekšminēto, vispirms izvērtējama iespēja konstatēto problēmu risināt ar ne-sodošiem administratīviem līdzekļiem. Ja nav pārliecinoša pamatojuma, kāpēc projekta 13. pantā paredzētie pasākumi nav sodi, un nepastāv citi piemēroti administratīvi līdzekļi, tad vērtējama iespēja paredzēt atbilstošus administratīvus pārkāpumus.</w:t>
      </w:r>
    </w:p>
    <w:p w14:paraId="2C1CB942" w14:textId="77777777" w:rsidR="002D6B4E" w:rsidRDefault="002D6B4E" w:rsidP="002D6B4E">
      <w:pPr>
        <w:jc w:val="both"/>
        <w:rPr>
          <w:rFonts w:ascii="Times New Roman" w:hAnsi="Times New Roman" w:cs="Times New Roman"/>
        </w:rPr>
      </w:pPr>
    </w:p>
    <w:p w14:paraId="64FBF210" w14:textId="77777777" w:rsidR="002D6B4E" w:rsidRDefault="002D6B4E" w:rsidP="002D6B4E">
      <w:pPr>
        <w:jc w:val="both"/>
        <w:rPr>
          <w:rFonts w:ascii="Times New Roman" w:hAnsi="Times New Roman" w:cs="Times New Roman"/>
        </w:rPr>
      </w:pPr>
      <w:r>
        <w:rPr>
          <w:rFonts w:ascii="Times New Roman" w:hAnsi="Times New Roman" w:cs="Times New Roman"/>
        </w:rPr>
        <w:t>            4. Sodoša rakstura pasākumi varētu būt paredzēti arī citviet projektā. Jebkura institūcijas negatīva (nelabvēlīga) reakcija uz personas izdarītu pārkāpumu (neatbilstību) izvērtējama, ievērojot iepriekšminētos krimināltiesiska rakstura administratīvās sankcijas kritērijus. Piemēram, projekta 12. panta otrajā daļā ir paredzēts pienākums segt ar uzraudzību saistītos izdevumus, ja tiek konstatēts, ka transporta enerģijas kvalitāte neatbilst izvirzītajām prasībām. Projekta anotācijā nav atrodams pamatojums šādam regulējumam.</w:t>
      </w:r>
    </w:p>
    <w:p w14:paraId="30824EE4" w14:textId="77777777" w:rsidR="002D6B4E" w:rsidRDefault="002D6B4E" w:rsidP="002D6B4E">
      <w:pPr>
        <w:pStyle w:val="ListParagraph"/>
        <w:numPr>
          <w:ilvl w:val="0"/>
          <w:numId w:val="3"/>
        </w:numPr>
        <w:spacing w:before="120" w:after="120"/>
        <w:ind w:left="0" w:firstLine="709"/>
        <w:jc w:val="both"/>
        <w:rPr>
          <w:rFonts w:ascii="Times New Roman" w:hAnsi="Times New Roman" w:cs="Times New Roman"/>
        </w:rPr>
      </w:pPr>
      <w:r>
        <w:rPr>
          <w:rFonts w:ascii="Times New Roman" w:hAnsi="Times New Roman" w:cs="Times New Roman"/>
        </w:rPr>
        <w:t>Projekta 13.panta trešās daļas otrais teikums paredz, ka, “</w:t>
      </w:r>
      <w:r>
        <w:rPr>
          <w:rFonts w:ascii="Times New Roman" w:hAnsi="Times New Roman" w:cs="Times New Roman"/>
          <w:i/>
          <w:iCs/>
        </w:rPr>
        <w:t xml:space="preserve">ja šajā termiņā maksājums nav veikts vai nav veikts pilnā apmērā, Ministru kabineta noteiktā institūcija </w:t>
      </w:r>
      <w:r>
        <w:rPr>
          <w:rFonts w:ascii="Times New Roman" w:hAnsi="Times New Roman" w:cs="Times New Roman"/>
          <w:i/>
          <w:iCs/>
          <w:u w:val="single"/>
        </w:rPr>
        <w:t>attiecīgo summu piedzen bezstrīda kārtībā</w:t>
      </w:r>
      <w:r>
        <w:rPr>
          <w:rFonts w:ascii="Times New Roman" w:hAnsi="Times New Roman" w:cs="Times New Roman"/>
        </w:rPr>
        <w:t>”. Lūdzam precizēt minēto regulējumu, jo nav pašreizējā formulējuma nav viennozīmīgi skaidrs, vai ar minēto “bezstrīdus kārtību” jāsaprot Civilprocesa likuma 400.pantā regulētā saistību bezstrīdus piespiedu izpildīšana, vai kāds cits piespiedu izpildes mehānisms.</w:t>
      </w:r>
    </w:p>
    <w:p w14:paraId="12195D11" w14:textId="77777777" w:rsidR="002D6B4E" w:rsidRDefault="002D6B4E" w:rsidP="002D6B4E">
      <w:pPr>
        <w:pStyle w:val="ListParagraph"/>
        <w:spacing w:before="120" w:after="120"/>
        <w:ind w:left="709"/>
        <w:jc w:val="both"/>
        <w:rPr>
          <w:rFonts w:ascii="Times New Roman" w:hAnsi="Times New Roman" w:cs="Times New Roman"/>
        </w:rPr>
      </w:pPr>
      <w:r>
        <w:rPr>
          <w:rFonts w:ascii="Times New Roman" w:hAnsi="Times New Roman" w:cs="Times New Roman"/>
        </w:rPr>
        <w:t> </w:t>
      </w:r>
    </w:p>
    <w:p w14:paraId="72141FA7" w14:textId="77777777" w:rsidR="002D6B4E" w:rsidRDefault="002D6B4E" w:rsidP="002D6B4E">
      <w:pPr>
        <w:jc w:val="both"/>
        <w:rPr>
          <w:rFonts w:ascii="Times New Roman" w:hAnsi="Times New Roman" w:cs="Times New Roman"/>
        </w:rPr>
      </w:pPr>
      <w:r>
        <w:rPr>
          <w:rFonts w:ascii="Times New Roman" w:hAnsi="Times New Roman" w:cs="Times New Roman"/>
        </w:rPr>
        <w:t xml:space="preserve">Vienlaikus izsakām priekšlikumu precizēt projekta tekstu atbilstoši Ministru kabineta 2009.gada 3.februāra noteikumu nr.108 “Normatīvo aktu projektu sagatavošanas noteikumi” 2.1., 2.2. un 2.3.apakšpunktam un citām šo noteikumu prasībām. Tai skaitā projekta 8.panta sestajā daļā lūdzam precizēt regulas nosaukumu atbilstoši juridiskās tehnikas prasībām, proti, “Komisijas </w:t>
      </w:r>
      <w:r>
        <w:rPr>
          <w:rFonts w:ascii="Times New Roman" w:hAnsi="Times New Roman" w:cs="Times New Roman"/>
          <w:u w:val="single"/>
        </w:rPr>
        <w:t>2019.gada 13.marta Deleģētā regula</w:t>
      </w:r>
      <w:r>
        <w:rPr>
          <w:rFonts w:ascii="Times New Roman" w:hAnsi="Times New Roman" w:cs="Times New Roman"/>
        </w:rPr>
        <w:t xml:space="preserve"> (ES) 2019.807, ar kuru [..]”. Ierosinām precizēt projekta 10.panta nosaukumu, svītrojot vārdus “to atbilstības verificēšana”, projekta 10,panta trešās daļas ievaddaļā svītrot vārdu “kura”; izvairīties no vajadzības izteiksmes (“jābūt”, “jāatbilst”) lietošanas projekta tekstā, </w:t>
      </w:r>
      <w:proofErr w:type="spellStart"/>
      <w:r>
        <w:rPr>
          <w:rFonts w:ascii="Times New Roman" w:hAnsi="Times New Roman" w:cs="Times New Roman"/>
        </w:rPr>
        <w:t>u,tml</w:t>
      </w:r>
      <w:proofErr w:type="spellEnd"/>
      <w:r>
        <w:rPr>
          <w:rFonts w:ascii="Times New Roman" w:hAnsi="Times New Roman" w:cs="Times New Roman"/>
        </w:rPr>
        <w:t>.</w:t>
      </w:r>
    </w:p>
    <w:p w14:paraId="090F38A4" w14:textId="77777777" w:rsidR="002D6B4E" w:rsidRDefault="002D6B4E" w:rsidP="002D6B4E">
      <w:pPr>
        <w:pStyle w:val="ListParagraph"/>
        <w:ind w:left="360"/>
        <w:jc w:val="both"/>
        <w:rPr>
          <w:rFonts w:ascii="Times New Roman" w:hAnsi="Times New Roman" w:cs="Times New Roman"/>
        </w:rPr>
      </w:pPr>
    </w:p>
    <w:p w14:paraId="27FC9F81" w14:textId="77777777" w:rsidR="002D6B4E" w:rsidRDefault="002D6B4E" w:rsidP="002D6B4E">
      <w:pPr>
        <w:jc w:val="both"/>
        <w:rPr>
          <w:rFonts w:ascii="Times New Roman" w:hAnsi="Times New Roman" w:cs="Times New Roman"/>
          <w:i/>
          <w:iCs/>
        </w:rPr>
      </w:pPr>
      <w:r>
        <w:rPr>
          <w:rFonts w:ascii="Times New Roman" w:hAnsi="Times New Roman" w:cs="Times New Roman"/>
          <w:i/>
          <w:iCs/>
        </w:rPr>
        <w:t xml:space="preserve">Andra Reinfelde, </w:t>
      </w:r>
    </w:p>
    <w:p w14:paraId="217FECFC" w14:textId="77777777" w:rsidR="002D6B4E" w:rsidRDefault="002D6B4E" w:rsidP="002D6B4E">
      <w:pPr>
        <w:jc w:val="both"/>
        <w:rPr>
          <w:rFonts w:ascii="Times New Roman" w:hAnsi="Times New Roman" w:cs="Times New Roman"/>
          <w:i/>
          <w:iCs/>
        </w:rPr>
      </w:pPr>
      <w:r>
        <w:rPr>
          <w:rFonts w:ascii="Times New Roman" w:hAnsi="Times New Roman" w:cs="Times New Roman"/>
          <w:i/>
          <w:iCs/>
        </w:rPr>
        <w:t xml:space="preserve">Valststiesību departamenta </w:t>
      </w:r>
    </w:p>
    <w:p w14:paraId="43B34036" w14:textId="77777777" w:rsidR="002D6B4E" w:rsidRDefault="002D6B4E" w:rsidP="002D6B4E">
      <w:pPr>
        <w:jc w:val="both"/>
        <w:rPr>
          <w:rFonts w:ascii="Times New Roman" w:hAnsi="Times New Roman" w:cs="Times New Roman"/>
          <w:i/>
          <w:iCs/>
        </w:rPr>
      </w:pPr>
      <w:r>
        <w:rPr>
          <w:rFonts w:ascii="Times New Roman" w:hAnsi="Times New Roman" w:cs="Times New Roman"/>
          <w:i/>
          <w:iCs/>
        </w:rPr>
        <w:t xml:space="preserve">Starptautisko publisko tiesību nodaļas juriste, </w:t>
      </w:r>
      <w:hyperlink r:id="rId6" w:history="1">
        <w:r>
          <w:rPr>
            <w:rStyle w:val="Hyperlink"/>
            <w:rFonts w:ascii="Times New Roman" w:hAnsi="Times New Roman" w:cs="Times New Roman"/>
            <w:i/>
            <w:iCs/>
          </w:rPr>
          <w:t>andra.reinfelde@tm.gov.lv</w:t>
        </w:r>
      </w:hyperlink>
    </w:p>
    <w:p w14:paraId="4EB32817" w14:textId="77777777" w:rsidR="002D6B4E" w:rsidRDefault="002D6B4E" w:rsidP="002D6B4E">
      <w:pPr>
        <w:jc w:val="both"/>
        <w:rPr>
          <w:rFonts w:ascii="Times New Roman" w:hAnsi="Times New Roman" w:cs="Times New Roman"/>
          <w:i/>
          <w:iCs/>
        </w:rPr>
      </w:pPr>
    </w:p>
    <w:p w14:paraId="4A15D757" w14:textId="77777777" w:rsidR="002D6B4E" w:rsidRDefault="002D6B4E" w:rsidP="002D6B4E">
      <w:pPr>
        <w:jc w:val="both"/>
        <w:rPr>
          <w:rFonts w:ascii="Times New Roman" w:hAnsi="Times New Roman" w:cs="Times New Roman"/>
          <w:i/>
          <w:iCs/>
        </w:rPr>
      </w:pPr>
      <w:r>
        <w:rPr>
          <w:rFonts w:ascii="Times New Roman" w:hAnsi="Times New Roman" w:cs="Times New Roman"/>
          <w:i/>
          <w:iCs/>
        </w:rPr>
        <w:t xml:space="preserve">Sandis Vilcāns, </w:t>
      </w:r>
    </w:p>
    <w:p w14:paraId="42F30E68" w14:textId="77777777" w:rsidR="002D6B4E" w:rsidRDefault="002D6B4E" w:rsidP="002D6B4E">
      <w:pPr>
        <w:jc w:val="both"/>
        <w:rPr>
          <w:rFonts w:ascii="Times New Roman" w:hAnsi="Times New Roman" w:cs="Times New Roman"/>
          <w:i/>
          <w:iCs/>
        </w:rPr>
      </w:pPr>
      <w:r>
        <w:rPr>
          <w:rFonts w:ascii="Times New Roman" w:hAnsi="Times New Roman" w:cs="Times New Roman"/>
          <w:i/>
          <w:iCs/>
        </w:rPr>
        <w:t xml:space="preserve">Valststiesību departamenta </w:t>
      </w:r>
    </w:p>
    <w:p w14:paraId="017C718B" w14:textId="77777777" w:rsidR="002D6B4E" w:rsidRDefault="002D6B4E" w:rsidP="002D6B4E">
      <w:pPr>
        <w:jc w:val="both"/>
        <w:rPr>
          <w:rFonts w:ascii="Times New Roman" w:hAnsi="Times New Roman" w:cs="Times New Roman"/>
          <w:i/>
          <w:iCs/>
        </w:rPr>
      </w:pPr>
      <w:r>
        <w:rPr>
          <w:rFonts w:ascii="Times New Roman" w:hAnsi="Times New Roman" w:cs="Times New Roman"/>
          <w:i/>
          <w:iCs/>
        </w:rPr>
        <w:t xml:space="preserve">Administratīvās atbildības politikas nodaļas jurists, </w:t>
      </w:r>
      <w:proofErr w:type="spellStart"/>
      <w:r>
        <w:rPr>
          <w:rFonts w:ascii="Times New Roman" w:hAnsi="Times New Roman" w:cs="Times New Roman"/>
          <w:i/>
          <w:iCs/>
        </w:rPr>
        <w:t>sandis,vilcans@tm.gov.lv</w:t>
      </w:r>
      <w:proofErr w:type="spellEnd"/>
    </w:p>
    <w:p w14:paraId="5360CE60" w14:textId="77777777" w:rsidR="002D6B4E" w:rsidRDefault="002D6B4E"/>
    <w:sectPr w:rsidR="002D6B4E" w:rsidSect="002D6B4E">
      <w:pgSz w:w="11906" w:h="16838"/>
      <w:pgMar w:top="1418"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F7561C"/>
    <w:multiLevelType w:val="hybridMultilevel"/>
    <w:tmpl w:val="D2885936"/>
    <w:lvl w:ilvl="0" w:tplc="4352102C">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 w15:restartNumberingAfterBreak="0">
    <w:nsid w:val="5A361187"/>
    <w:multiLevelType w:val="hybridMultilevel"/>
    <w:tmpl w:val="101667B4"/>
    <w:lvl w:ilvl="0" w:tplc="28A82864">
      <w:start w:val="1"/>
      <w:numFmt w:val="bullet"/>
      <w:lvlText w:val="-"/>
      <w:lvlJc w:val="left"/>
      <w:pPr>
        <w:ind w:left="1069" w:hanging="360"/>
      </w:pPr>
      <w:rPr>
        <w:rFonts w:ascii="Times New Roman" w:eastAsia="Calibri" w:hAnsi="Times New Roman" w:cs="Times New Roman" w:hint="default"/>
      </w:rPr>
    </w:lvl>
    <w:lvl w:ilvl="1" w:tplc="04260003">
      <w:start w:val="1"/>
      <w:numFmt w:val="bullet"/>
      <w:lvlText w:val="o"/>
      <w:lvlJc w:val="left"/>
      <w:pPr>
        <w:ind w:left="1789" w:hanging="360"/>
      </w:pPr>
      <w:rPr>
        <w:rFonts w:ascii="Courier New" w:hAnsi="Courier New" w:cs="Courier New" w:hint="default"/>
      </w:rPr>
    </w:lvl>
    <w:lvl w:ilvl="2" w:tplc="04260005">
      <w:start w:val="1"/>
      <w:numFmt w:val="bullet"/>
      <w:lvlText w:val=""/>
      <w:lvlJc w:val="left"/>
      <w:pPr>
        <w:ind w:left="2509" w:hanging="360"/>
      </w:pPr>
      <w:rPr>
        <w:rFonts w:ascii="Wingdings" w:hAnsi="Wingdings" w:hint="default"/>
      </w:rPr>
    </w:lvl>
    <w:lvl w:ilvl="3" w:tplc="04260001">
      <w:start w:val="1"/>
      <w:numFmt w:val="bullet"/>
      <w:lvlText w:val=""/>
      <w:lvlJc w:val="left"/>
      <w:pPr>
        <w:ind w:left="3229" w:hanging="360"/>
      </w:pPr>
      <w:rPr>
        <w:rFonts w:ascii="Symbol" w:hAnsi="Symbol" w:hint="default"/>
      </w:rPr>
    </w:lvl>
    <w:lvl w:ilvl="4" w:tplc="04260003">
      <w:start w:val="1"/>
      <w:numFmt w:val="bullet"/>
      <w:lvlText w:val="o"/>
      <w:lvlJc w:val="left"/>
      <w:pPr>
        <w:ind w:left="3949" w:hanging="360"/>
      </w:pPr>
      <w:rPr>
        <w:rFonts w:ascii="Courier New" w:hAnsi="Courier New" w:cs="Courier New" w:hint="default"/>
      </w:rPr>
    </w:lvl>
    <w:lvl w:ilvl="5" w:tplc="04260005">
      <w:start w:val="1"/>
      <w:numFmt w:val="bullet"/>
      <w:lvlText w:val=""/>
      <w:lvlJc w:val="left"/>
      <w:pPr>
        <w:ind w:left="4669" w:hanging="360"/>
      </w:pPr>
      <w:rPr>
        <w:rFonts w:ascii="Wingdings" w:hAnsi="Wingdings" w:hint="default"/>
      </w:rPr>
    </w:lvl>
    <w:lvl w:ilvl="6" w:tplc="04260001">
      <w:start w:val="1"/>
      <w:numFmt w:val="bullet"/>
      <w:lvlText w:val=""/>
      <w:lvlJc w:val="left"/>
      <w:pPr>
        <w:ind w:left="5389" w:hanging="360"/>
      </w:pPr>
      <w:rPr>
        <w:rFonts w:ascii="Symbol" w:hAnsi="Symbol" w:hint="default"/>
      </w:rPr>
    </w:lvl>
    <w:lvl w:ilvl="7" w:tplc="04260003">
      <w:start w:val="1"/>
      <w:numFmt w:val="bullet"/>
      <w:lvlText w:val="o"/>
      <w:lvlJc w:val="left"/>
      <w:pPr>
        <w:ind w:left="6109" w:hanging="360"/>
      </w:pPr>
      <w:rPr>
        <w:rFonts w:ascii="Courier New" w:hAnsi="Courier New" w:cs="Courier New" w:hint="default"/>
      </w:rPr>
    </w:lvl>
    <w:lvl w:ilvl="8" w:tplc="04260005">
      <w:start w:val="1"/>
      <w:numFmt w:val="bullet"/>
      <w:lvlText w:val=""/>
      <w:lvlJc w:val="left"/>
      <w:pPr>
        <w:ind w:left="6829" w:hanging="360"/>
      </w:pPr>
      <w:rPr>
        <w:rFonts w:ascii="Wingdings" w:hAnsi="Wingdings" w:hint="default"/>
      </w:rPr>
    </w:lvl>
  </w:abstractNum>
  <w:abstractNum w:abstractNumId="2" w15:restartNumberingAfterBreak="0">
    <w:nsid w:val="698325AA"/>
    <w:multiLevelType w:val="hybridMultilevel"/>
    <w:tmpl w:val="CADE349C"/>
    <w:lvl w:ilvl="0" w:tplc="0426000F">
      <w:start w:val="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oNotDisplayPageBoundaries/>
  <w:proofState w:spelling="clean" w:grammar="clean"/>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B4E"/>
    <w:rsid w:val="002D6B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B997C"/>
  <w15:chartTrackingRefBased/>
  <w15:docId w15:val="{806A164E-0687-4E6C-906B-779B44484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B4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D6B4E"/>
    <w:rPr>
      <w:color w:val="0563C1"/>
      <w:u w:val="single"/>
    </w:rPr>
  </w:style>
  <w:style w:type="paragraph" w:styleId="NormalWeb">
    <w:name w:val="Normal (Web)"/>
    <w:basedOn w:val="Normal"/>
    <w:uiPriority w:val="99"/>
    <w:semiHidden/>
    <w:unhideWhenUsed/>
    <w:rsid w:val="002D6B4E"/>
    <w:pPr>
      <w:spacing w:before="100" w:beforeAutospacing="1" w:after="100" w:afterAutospacing="1"/>
    </w:pPr>
    <w:rPr>
      <w:lang w:eastAsia="lv-LV"/>
    </w:rPr>
  </w:style>
  <w:style w:type="paragraph" w:styleId="ListParagraph">
    <w:name w:val="List Paragraph"/>
    <w:basedOn w:val="Normal"/>
    <w:uiPriority w:val="34"/>
    <w:qFormat/>
    <w:rsid w:val="002D6B4E"/>
    <w:pPr>
      <w:ind w:left="720"/>
      <w:contextualSpacing/>
    </w:pPr>
    <w:rPr>
      <w:sz w:val="24"/>
      <w:szCs w:val="24"/>
    </w:rPr>
  </w:style>
  <w:style w:type="character" w:customStyle="1" w:styleId="normaltextrun">
    <w:name w:val="normaltextrun"/>
    <w:basedOn w:val="DefaultParagraphFont"/>
    <w:rsid w:val="002D6B4E"/>
  </w:style>
  <w:style w:type="paragraph" w:styleId="BalloonText">
    <w:name w:val="Balloon Text"/>
    <w:basedOn w:val="Normal"/>
    <w:link w:val="BalloonTextChar"/>
    <w:uiPriority w:val="99"/>
    <w:semiHidden/>
    <w:unhideWhenUsed/>
    <w:rsid w:val="002D6B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6B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595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dra.reinfelde@tm.gov.lv" TargetMode="External"/><Relationship Id="rId5" Type="http://schemas.openxmlformats.org/officeDocument/2006/relationships/hyperlink" Target="https://tai.mk.gov.lv/book/1/chapter/9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13568</Words>
  <Characters>7735</Characters>
  <Application>Microsoft Office Word</Application>
  <DocSecurity>0</DocSecurity>
  <Lines>64</Lines>
  <Paragraphs>42</Paragraphs>
  <ScaleCrop>false</ScaleCrop>
  <Company/>
  <LinksUpToDate>false</LinksUpToDate>
  <CharactersWithSpaces>21261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Rimša</dc:creator>
  <cp:keywords/>
  <dc:description/>
  <cp:lastModifiedBy>Helēna Rimša</cp:lastModifiedBy>
  <cp:revision>1</cp:revision>
  <dcterms:created xsi:type="dcterms:W3CDTF">2021-03-30T08:02:00Z</dcterms:created>
  <dcterms:modified xsi:type="dcterms:W3CDTF">2021-03-30T08:11:00Z</dcterms:modified>
</cp:coreProperties>
</file>