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(4.2.4.2 pasākuma "Atbalsts pieaugušo individuālajās vajadzībās balstītai pieaugušo izglītībai” izmaksu ieguvumu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(sabiedriskās apsriedes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sniegt aprakstu anotācijā par demarkāciju ar šādām atbalsta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Atveseļošanas un noturības mehānisma plāna 2. komponentes "Digitālā transformācija" 2.3. reformu un investīciju virziena "Digitālās prasmes" 2.3.1.r. reformas "Ilgtspējīgas un sociāli atbildīgas atbalsta sistēmas pieaugušo izglītībai attīstība" 2.3.1.1.i. investīcija "Augsta līmeņa digitālo prasmju apguves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Savienības kohēzijas politikas programmas 2021.–2027.gadam 1.1.2. specifikā atbalsta mērķa “Prasmju attīstīšana viedās specializācijas, industriālās pārejas un uzņēmējdarbības veicināšanai” 1.1.2.2. pasākums "Uzņēmumu digitālo prasmju attīstība".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Jaunskunga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20.12.2023. 12.11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20.12.2023. 12.11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Atzinumi_23-TA-1361.docx</dc:title>
</cp:coreProperties>
</file>

<file path=docProps/custom.xml><?xml version="1.0" encoding="utf-8"?>
<Properties xmlns="http://schemas.openxmlformats.org/officeDocument/2006/custom-properties" xmlns:vt="http://schemas.openxmlformats.org/officeDocument/2006/docPropsVTypes"/>
</file>