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22-TA-2565: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trešais uzsaukums, vērtējot projektus, kur mājsaimniecībās uzstāda biomasas kurināmā katlus, kas piemēroti granulu kurināmajam atbilstoši šo noteikumu </w:t>
            </w:r>
            <w:r w:rsidR="00000000" w:rsidRPr="00000000" w:rsidDel="00000000">
              <w:rPr>
                <w:rtl w:val="0"/>
              </w:rPr>
              <w:t xml:space="preserve">41.1.</w:t>
            </w:r>
            <w:r w:rsidR="00000000" w:rsidRPr="00000000" w:rsidDel="00000000">
              <w:rPr>
                <w:rtl w:val="0"/>
              </w:rPr>
              <w:t xml:space="preserve"> apakšpunktam. Ja projektu plānots īstenot centralizētās siltumapgādes apkalpošanas zonā – 20 metru attālumā no centralizētās siltumapgādes sistēmas maģistrālajiem tīkliem, projektu vērtē ceturtā uzsaukuma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likumā ir atrodamas sadales un pārvades sistēmu/ tīklu definīcijas, bet nav skaidrojuma, kas ir maģistrālie tīkli. Lai noteikumu piemērošanā netiktu radīti nevajadzīgi pārpratumi, aicinām precizēt punkta redakciju, izmantojot formulējumu 'centralizētās siltumapgādes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04.11.2022. 13.55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22-TA-2565</w:t>
    </w:r>
    <w:r>
      <w:br/>
    </w:r>
    <w:r w:rsidR="00000000" w:rsidRPr="00000000" w:rsidDel="00000000">
      <w:rPr>
        <w:rtl w:val="0"/>
      </w:rPr>
      <w:t xml:space="preserve">Izdrukāts 04.11.2022. 13.55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Atzinumi_22-TA-2565.docx</dc:title>
</cp:coreProperties>
</file>

<file path=docProps/custom.xml><?xml version="1.0" encoding="utf-8"?>
<Properties xmlns="http://schemas.openxmlformats.org/officeDocument/2006/custom-properties" xmlns:vt="http://schemas.openxmlformats.org/officeDocument/2006/docPropsVTypes"/>
</file>