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58 "Noteikumi par civiltiesiskās atbildības obligāto apdrošināšanu apsardzes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limitu (turpmāk – apdrošināšanas limits) apsardzes komersantam, kas reģistrēts Apsardzes darbības reģistrā (turpmāk – reģistrs) fiziskās apsardzes, tehniskās apsardzes vai inkasācijas apsardzes pakalpojumu sniegšanai (turpmāk – apsardzes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noteikumu projekts “Grozījumi Ministru kabineta 2015. gada 3. februāra noteikumos Nr.58 “Noteikumi par civiltiesiskās atbildības obligāto apdrošināšanu apsardzes darbībā””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2015. gada 3. februāra noteikumu Nr.58 “Noteikumi par civiltiesiskās atbildības obligāto apdrošināšanu apsardzes darbībā” (turpmāk – noteikumi) 1. punktu nepieciešams izteikt saskaņā ar Ministru kabineta 2009. gada 3. februāra noteikumu Nr.108 “Normatīvo aktu projektu sagatavošanas noteikumi” 100.2. apakšpunktu – precīzi atbilstoši Apsardzes darbības likuma (turpmāk - likums) 25. panta ceturtajā daļā noteiktajam. Vēlamies norādīt, ka likuma 25. panta pirmajā daļā noteiktais apsardzes komersantu, kuriem nepieciešama viņu darbības civiltiesiskā apdrošināšana, uzskaitījums ir tieši piemērojama likuma norma, kas nav jāpārnes (jādublē) Ministru kabineta noteikumos, jo tas būs pretrunā ar tiesību normu hierarhiju. Tieslietu ministrijas ieskatā tiesiskās skaidrības nodrošināšanai par noteikumu regulējuma robežām paskaidrojošu regulējumu var iekļaut noteikumu 2. punktā ar ārējo atsauci uz šo likuma normu. Vienlaikus norādām, ka likuma 1. panta 7. punktā ir minēts reģistra nosaukums un tajā netiek paredzēta lielo burtu izmantošana. Attiecīgi arī projektā reģistra nosaukums nevar atšķirties.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apsardzes komersanta civiltiesiskās atbildības apdrošināšanas kārtību un civiltiesiskās atbildības apdrošināšanas limitu (turpmāk – apdrošināšanas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Apsardzes darbības likuma 25. panta pirmajā daļā noteiktais apsardzes komersants (turpmāk – apsardzes komersants) pēc reģistrācijas apsardzes darbības reģistrā (turpmāk – reģistrs) mēneša laikā noslēdz civiltiesiskās atbildības apdrošināšanas līgumu (turpmāk – apdrošināšanas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16.02.2024.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16.02.2024.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Atzinumi_23-TA-1786.docx</dc:title>
</cp:coreProperties>
</file>

<file path=docProps/custom.xml><?xml version="1.0" encoding="utf-8"?>
<Properties xmlns="http://schemas.openxmlformats.org/officeDocument/2006/custom-properties" xmlns:vt="http://schemas.openxmlformats.org/officeDocument/2006/docPropsVTypes"/>
</file>