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21.4. 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turpināta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 Tāpat kā Noteikumu projekts, arī AF 5.1.1.2.i. trešā kārta paredz prasību, iesniedzot projektu, un turpmākajā tā īstenošanas laikā nodrošināt, ka sadarbības tīklus pārstāv ne mazāk kā 30 savstarpēji nesaistīti sadarbības tīkla dalībnieki - komersanti. Iesniedzot AF 5.1.1.2.i. trešās kārtas projekta pieteikumu, tam nebija jāpievieno sadarbības tīkla dalībnieku MVK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ieviestā prasība, ka kopā ar projekta iesniegumu ir jāiesniedz sadarbības tīkla dalībnieku – vismaz 30 komersantu MVK deklarācijas, ir uzskatāma par nesamērīgi liela administratīvā sloga radīšanu projektu iesniedzējiem, tādēļ </w:t>
            </w:r>
            <w:r w:rsidR="00000000" w:rsidRPr="00000000" w:rsidDel="00000000">
              <w:rPr>
                <w:b w:val="1"/>
                <w:rtl w:val="0"/>
              </w:rPr>
              <w:t xml:space="preserve">LDDK aicina svītrot Noteikuma projekta 21.4.punktu.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Noteikuma projekta 21.4.punktu.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Sadarbības tīkla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28.1.punktu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punktā ir uzskaitītas izmaksas, kas ir attiecināmas uz pašu sadarbības tīklu, taču Noteikumu projektā nav skaidri norādīts, kāda atbalsta intensitāte (izņemot projekta vadības un personāla izmaksas) ir paredzēta šīm aktivitātēm, piemēram, starptautisku projektu rakstīšanai, mārketinga un atpazīstamības veicināšanai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atbalsta intensitāti, kas tiks piemērota uz sadarbības tīklu attiecināmajām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Vienkāršoto izmaksu vienotā izmaksu likme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29.punktu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 MK noteikumi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nosaka, ka Noteikumu projekta 29. punktā minēto izmaksu segšanai ierobežojums ir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Ekonomikas ministrijas izziņā minētajam, ar Noteikumu projektu tiek būtiski samazinātas pieļaujamās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29.punktā minētā, personāla izmaksas tiek noteiktas 20% apmērā no tiešajām attiecināmajām izmaksām, kurās netiek iekļautas plānotās personāla izmaksas. Savukārt Noteikumu projekta izziņā Ekonomikas ministrija ir veikusi projekta vadības un personāla izmaksu aprēķinu no kopējā vienam projekta iesniegumam maksimāli pieļaujamā finansējuma apjoma. Līdz ar to pieļaujamās projekta vadības izmaksas viennozīmīgi būs mazākas par izziņā norādītajiem 162 996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5.1.1.2.i. trešās kārtas ietvaros izmaksas, tajā skaitā personāla, ir attiecināmas maksimums par 30 mēnešu ilgu laikposmu. Tā kā Ekonomikas ministrija Noteikumu projekta izziņā salīdzina projekta vadības un personāla izmaksas starp AF 5.1.1.2.i. trešo kārtu un Noteikumu projektu, tad secināms, ka </w:t>
            </w:r>
            <w:r w:rsidR="00000000" w:rsidRPr="00000000" w:rsidDel="00000000">
              <w:rPr>
                <w:b w:val="1"/>
                <w:rtl w:val="0"/>
              </w:rPr>
              <w:t xml:space="preserve">ministrija plāno uzsākt jauno projektu īstenošanu tikai 2027. gadā</w:t>
            </w:r>
            <w:r w:rsidR="00000000" w:rsidRPr="00000000" w:rsidDel="00000000">
              <w:rPr>
                <w:rtl w:val="0"/>
              </w:rPr>
              <w:t xml:space="preserve">, kas nav pieļaujams no tautsaimniecībai tik būtiska atbalsta instrumenta nepārtrauktības nodrošināšanas, vai arī </w:t>
            </w:r>
            <w:r w:rsidR="00000000" w:rsidRPr="00000000" w:rsidDel="00000000">
              <w:rPr>
                <w:b w:val="1"/>
                <w:rtl w:val="0"/>
              </w:rPr>
              <w:t xml:space="preserve">izmantotais salīdzinājums nav korekts un ar Noteikumu projektu tiks būtiski samazinātas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projektu vadības izmaksas, projektu īstenotājiem būs jāmaina izveidotā projektu vadības struktūra un jāsamazina projekta īstenošanas personāla skaits, kas ilgtermiņā var negatīvi ietekmēt paredzēto aktivitāšu īstenošanu. Tāpēc </w:t>
            </w:r>
            <w:r w:rsidR="00000000" w:rsidRPr="00000000" w:rsidDel="00000000">
              <w:rPr>
                <w:b w:val="1"/>
                <w:rtl w:val="0"/>
              </w:rPr>
              <w:t xml:space="preserve">LDDK</w:t>
            </w:r>
            <w:r w:rsidR="00000000" w:rsidRPr="00000000" w:rsidDel="00000000">
              <w:rPr>
                <w:b w:val="1"/>
                <w:rtl w:val="0"/>
              </w:rPr>
              <w:t xml:space="preserve"> rosina labot Noteikumu projekta 29. punktu un noteikt projekta vadības un personāla izmaksas ekvivalentā apmērā AF 5.1.1.2.i. trešās kārtas ietvaros noteiktajam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30. punktu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nav minētas projekta darbības, uz kurām varētu tikt attiecinātas netiešās projekta īstenošanas izmaksas, tāpēc 30.punktā ietvertā atsauce uz 29.punktu ir nepilnīga un neprecīza.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rosina atbilstoši precizēt 30.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37.punktu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atbalsta intensitātes samazināšanu un tās diferencētu piemērošanu atkarībā no komersanta lieluma. Sadarbības tīkla atbalsta instruments ir pierādījis, ka tas ir viens no efektīvākajiem mehānismiem sadarbības tīklu dalībnieku internacionalizācijas, eksporta un savstarpējās sadarbības veicināšanai. </w:t>
            </w:r>
            <w:r w:rsidR="00000000" w:rsidRPr="00000000" w:rsidDel="00000000">
              <w:rPr>
                <w:b w:val="1"/>
                <w:rtl w:val="0"/>
              </w:rPr>
              <w:t xml:space="preserve">Tādēļ nav saprotams, kāpēc Ekonomikas ministrija plāno samazināt atbalsta intensitāti sadarbības tīkla dalībniekiem, riskējot samazināt Latvijas komersantu, it īpaši - mazo un vidējo, globālo konkurētspēju un izaugsmes tempus.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no Noteikumu projektā minētajām darbībām, kuru izmaksas tiek attiecinātas uz sadarbības tīkla dalībniekiem, ir ar lielu finansiālo ietilpību. Tik būtiski samazinot atbalsta intensitāti, pastāv liela iespējamība, ka daudzas darbības, kas līdz šim tika īstenotas ar šī atbalsta mehānisma palīdzību, turpmāk netiks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Noteikumu projektu samazinātā atbalsta intensitāte, it īpaši lielajiem komersantiem, ir pārāk zema, lai motivētu tos iesaistīties sadarbības tīkla projektā.</w:t>
            </w:r>
            <w:r w:rsidR="00000000" w:rsidRPr="00000000" w:rsidDel="00000000">
              <w:rPr>
                <w:rtl w:val="0"/>
              </w:rPr>
              <w:t xml:space="preserve"> Tādā veidā projektos tiks apdraudēta pētniecības un attīstības aktivitāšu īstenošana, kur ļoti liela loma ir lielajiem komersantiem, un pretēji pasākuma mērķim tiks bremzēta efektīva sadarbība starp lielajiem komersantiem un pārējiem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diferencētas atbalsta intensitātes ieviešana atkarībā no komersanta lieluma sarežģīs programmas ieviešanas un administrēšanas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rosina saglabāt līdzšinējo pieeju un visiem sadarbības tīkla dalībniekiem neatkarīgi no to lieluma noteikt vienādu atbalsta intensitāti 85%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tīkls par katru sadarbības tīkla dalībnieku vismaz reizi gadā kopā ar maksājuma pieprasījumu iesniedz vadības informācijas sistēmā,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39.punktu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w:t>
            </w:r>
            <w:r w:rsidR="00000000" w:rsidRPr="00000000" w:rsidDel="00000000">
              <w:rPr>
                <w:b w:val="1"/>
                <w:rtl w:val="0"/>
              </w:rPr>
              <w:t xml:space="preserve">Noteikumu projekta 39. punkts un tajā ietvertie apakšpunkti paredz neadekvāti lielu administratīvo slogu - gan sadarbības tīkla, gan komersantu līmenī - saistībā ar dažādu datu un rādītāju vākšanu, uzkrāšanu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39. punkta apakšpunktos norādītajiem datiem, kas tiek prasīti iesniegt atbildīgajai iestādei, nav nekāda sakara ar pasākuma mērķi (39.8., 39.10. un 39.11. apakšpunkti), tie savstarpēji dublējas (39.13. un 39.14. apakšpunktā minētā informācija dublē 39.12. apakšpunktu), vai arī prasītajā griezumā un detalizācijas pakāpē šādus datus vispār nav iespējams iegūt (39.15.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LDDK rosina dzēst no Noteikumu projekta 39.8., 39.10., 39.11., 39.13., 39.14. un 39.15.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aprēķināšanu un uzskaiti sadarbības tīkla dalībniekiem atbilstoši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 nodrošinot, ka tiek ievērota dzimumu līdztiesība un vienlīdzīgu iespēju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46.8.apakšpunktu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24.2. un 24.3. apakšpunkti (uz kuriem atsaucas 46.8.apakšpunkts) nenosaka kārtību atbalsta piešķiršanai, aprēķināšanai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atbilstoši precizēt noteikumu projekta 46.8.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elektroniskā veidā dokumentēt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46.12. apakšpunktu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ko nozīmē termins "elektroniskā veidā dokumentēt", jo līdzšinējā projektu īstenošanas pieredzē ar šādu terminu projekta īstenošanā neesam saskārušies.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Ekonomikas ministrija norāda, ka šāda prasība tiek ieviesta tikai tādēļ, lai varētu identificēt personas, kas pieņem pozitīvu vai negatīvu lēmumu par atbalsta sniegšanu, tādā veidā [pēc ministrijas domām] mazinot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52.punktu sadarbības tīkla projekta īstenošanas un projekta vadības personālam, kā arī personām, kuras pieņem lēmumu par atbalsta piešķiršanu sadarbības tīkla dalībniekam, pirms vērtēšanas procesa uzsākšanas ir jāparaksta objektivitātes, konfidencialitātes un interešu konflikta neesības apliecinājums. Attiecīgi visas personas, kuras ir iesaistītas lēmuma pieņemšanā par atbalsta piešķiršanu vai noraidīšanu, ir identificējamas pēc apliecinājumiem.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svītrot noteikumu projekta 46.12. apakšpunktu, jo tas rada lieku administratīvo slogu projekta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Sadarbības tīkls pēc noslēguma maksājuma pieprasījuma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55. 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cilvēkresursi sadarbības tīklam, lai izpildītu 39.7.apakšpunktā minēto prasību apkopot sadarbības tīkla dalībnieku eksporta apjomu piecus gadus pēc noslēguma maksājuma pieprasījuma iesniegšanas, un vēl jo vairāk, lai to pārbaudītu, kā izriet no Noteikumu projekta 55. punkta. Eksporta un produktivitātes rādītāju apkopošanai ir nepieciešami ievērojami cilvēkresursi, kas pēc projekta īstenošanas sadarbības tīklam vairs nebūs pieejami. Līdz ar to noteikt tik ilgu uzraudzības periodu šo rādītāju kontrolei ir nesamērīgi liels finansiālais slogs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svītrot Noteikumu projekta 55. punktu, kā arī atbilstoši precizēt 39.7.apakšpunktu, lai neradītu nesamērīgu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projekta 55. punktu, kā arī atbilstoši precizēt 39.7.apakšpunktu, lai neradītu nesamērīgu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04.07.2024.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04.07.2024.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