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“Sabiedrības izpratnes veicināšana par klimatneitralitātes un klimatnoturības nozīmi un iespējām”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programmas ietvaros ir paredzēts publisko līdzekļu piešķīrums, kā arī kā viens no finansējuma saņēmējiem atbalsta programmas ietvaros ir norādītas biedrības un nodibinājumi, kas var būt saimnieciskās darbības veicēji, ir nepieciešams papildināt anotāciju ar atbalsta programmas izvērtējumu komercdarbības atbalsta kontekstā (vērtējot katru no noteikumu projekta 6.punktā minētajiem mērķiem un 9.punktā minētos projektu iesniedzējus) un gadījumā, ja izpildās visas Komercdarbības atbalsta kontroles likuma 5.pantā norādītās komercdarbības atbalsta pazīmes, atbalsta piešķiršanā būtu jāpiemēro atbilstošs komercdarbības atbalsta kontroles regulējums, kā arī ar tā nosacījumiem ir jāpapildina noteikumu projekts. Vērtējot projektu iesniedzējus - atbalsta saņēmējus, piemēram, biedrības un nodibinājumus, aicinām anotācijā skaidrot, kā tiem tiks izslēgta ekonomiskās priekšrocības piešķiršana, jo tie kā preču un pakalpojuma sniedzēji netiks izvēlēti atbilstošā iepirkumu procedūrā.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izslēgtu ekonomiskās priekšrocības preču piegādātājiem un pakalpojumu sniedzējiem, tādējādi novēršot tiem komercdarbības atbalsta piešķiršanu, tie būtu jāizraugās atklātā, pārredzamā, nediskriminējošā un konkurenci nodrošinošā procedūrā, līdz ar to papildus lūdzam noteikumu projektu papildināt ar šo nosacījumu, lai izslēgtu  komercdarbības atbalsta piešķiršanu preču un pakalpojumu piegādātāju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iesniedzēja un sadarbības partnera savstarpējās attiecības nosaka līgums vai vienošanās par pušu atbildību projekta īstenošanā, kas tiek iesniegta Vides investīciju fondā saskaņā ar šo noteikumu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41. </w:t>
            </w:r>
            <w:r w:rsidR="00000000" w:rsidRPr="00000000" w:rsidDel="00000000">
              <w:rPr>
                <w:rtl w:val="0"/>
              </w:rPr>
              <w:t xml:space="preserve">punktu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noteikuma projekta 11.2.apakšpunktā dublējošo atsauci uz noteikumu projekta 41.punktu.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pret projekta iesniedzēju vai sadarbības partneri ir vērsta prasība par līdzekļu atgūšanu no citām valsts atbalsta programmām vai projektiem saskaņā ar iepriekšēju Eiropas Komisijas lēmumu, ar ko atbalsts tiek atzīts par nelikumīgu un nesaderīgu ar kopējo tirgu;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12.2.apakšpunktā ietvertais nosacījums pārsvarā tiek izvirzīts gadījumos, kad atbalsta programmu ietvaros paredzēts piešķirt komercdarbības atbalstu. Tā kā šīs atbalsta programmas ietvaros komercdarbības atbalsts, pirmsšķietami, netiek paredzēts, aicinām izvērtēt attiecīgā nosacījuma saglabāšanu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1.1.sadaļā precizēt atsauces uz Piesārņojuma likuma pantiem, norādot atbilstoši likumā noteiktajam, proti,  “32.2 panta” aizstājot ar  “32.</w:t>
            </w:r>
            <w:r w:rsidR="00000000" w:rsidRPr="00000000" w:rsidDel="00000000">
              <w:rPr>
                <w:vertAlign w:val="superscript"/>
                <w:rtl w:val="0"/>
              </w:rPr>
              <w:t xml:space="preserve">2</w:t>
            </w:r>
            <w:r w:rsidR="00000000" w:rsidRPr="00000000" w:rsidDel="00000000">
              <w:rPr>
                <w:rtl w:val="0"/>
              </w:rPr>
              <w:t xml:space="preserve"> panta” , “4.6 daļu” aizstājot  ar “4</w:t>
            </w:r>
            <w:r w:rsidR="00000000" w:rsidRPr="00000000" w:rsidDel="00000000">
              <w:rPr>
                <w:vertAlign w:val="superscript"/>
                <w:rtl w:val="0"/>
              </w:rPr>
              <w:t xml:space="preserve">6</w:t>
            </w:r>
            <w:r w:rsidR="00000000" w:rsidRPr="00000000" w:rsidDel="00000000">
              <w:rPr>
                <w:rtl w:val="0"/>
              </w:rPr>
              <w:t xml:space="preserve"> daļu”, “4.4 daļas” aizstājot ar “4</w:t>
            </w:r>
            <w:r w:rsidR="00000000" w:rsidRPr="00000000" w:rsidDel="00000000">
              <w:rPr>
                <w:vertAlign w:val="superscript"/>
                <w:rtl w:val="0"/>
              </w:rPr>
              <w:t xml:space="preserve">4</w:t>
            </w:r>
            <w:r w:rsidR="00000000" w:rsidRPr="00000000" w:rsidDel="00000000">
              <w:rPr>
                <w:rtl w:val="0"/>
              </w:rPr>
              <w:t xml:space="preserve">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noteikumu projektā ietvertā atbalsta tvēruma demarkāciju ar Eiropas Savienības kohēzijas politikas programmā 2021.– 2027gadam plānoto 2.2.3.2.pasākumu "Vides izglītību veicinoši pasākumi sabiedrības informētībai un prasmju attīstībai", ņemot vērā, ka Vides aizsardzības un reģionālās attīstības ministrija minētajā pasākumā plāno apmācības, izglītības, konsultēšanas un informēšanas pasākumus prasmju attīstībai, pārkvalificēšanai, izpratnes veicināšanai un attieksmes, patēriņa un uzvedības modeļu ietekmēšanai attiecībā uz vides, īpaši aprites ekonomikas, dabas un klimata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aizpildīt 2.1. apakšpunktu gan 2024.gadam, gan 2025.gadam ailē “izmaiņas, salīdzinot ar vidēja termiņa budžeta ietvaru”, kā arī 2025.gadam norādīto informāciju 1.1.apakšpunktā pārcelt no ailes “saskaņā ar vidēja termiņa budžeta ietvaru” uz aili “izmaiņas, salīdzinot ar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6.punkta otro teikumu pārcelt uz anotācijas 3.sadaļas punktu “Cita informācija”, kā arī papildināt ar ministriju, kuras budžetā finansējums tiks plānots, kā arī norādīt, ka pasākuma īstenošanai EKII finansējuma daļa tiks pieprasīta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26.09.2023.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26.09.2023.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Atzinumi_22-TA-1792.docx</dc:title>
</cp:coreProperties>
</file>

<file path=docProps/custom.xml><?xml version="1.0" encoding="utf-8"?>
<Properties xmlns="http://schemas.openxmlformats.org/officeDocument/2006/custom-properties" xmlns:vt="http://schemas.openxmlformats.org/officeDocument/2006/docPropsVTypes"/>
</file>