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 (darbinieks) saņem piemaksu ne vairāk kā 20 procentu apmērā no tai noteiktās mēnešalgas, ja papildus saviem tiešajiem amata (darba, dienesta)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(turpmāk – atlīdzības likums) 14. panta pirmās daļas pirmais teikums paredz, ka amatpersona (darbinieks) saņem piemaksu ne vairāk kā 30 procentu apmērā no tai noteiktās mēnešalgas, ja papildus saviem tiešajiem amata (darba, dienesta) pienākumiem aizvieto prombūtnē esošu amatpersonu (darbinieku), vai pilda vēl citus pienākumus. Projekta 3. punkts pēc būtības dublē atlīdzības likuma 14. panta pirmās daļas pirmo teikumu, vienlaikus paredzot, ka piemaksas apmērs nedrīkst pārsniegt 20 procentu apmēru no noteiktās mēnešalgas. Šādā redakcijā projekta 3. punkts ir pretrunā atlīdzības likuma 14. panta pirmās daļas pirmajā teikumā noteiktajam. Lai izvairītos no tā, ka projekta 3. punktā ietvertais regulējums ir pretrunā atlīdzības likumā noteiktajam, kā arī korekti izpildītu Ministru kabinetam doto pilnvarojumu, aicinām projekta 3. punktu noformulēt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papildus saviem tiešajiem amata (darba, dienesta) pienākumiem amatpersona (darbinieks) aizvieto prombūtnē esošu amatpersonu (darbinieku) vai pilda citus pienākumus, tas saņem piemaksu ne vairāk kā 20 procentu apmērā no tai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Prokurors saņem piemaksu ne vairāk kā 20 procentu apmērā no viņam noteiktās mēnešalgas, ja papildus saviem tiešajiem amata pienākumiem, aizvieto prombūtnē esošu amatpersonu,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14. panta pirmās daļas ceturtais teikums paredz, ka prokurors saņem piemaksu ne vairāk kā 30 procentu apmērā no viņam noteiktās mēnešalgas, ja papildus saviem tiešajiem amata pienākumiem pilda vēl citus pienākumus. Projekta 5. punkts pēc būtības dublē atlīdzības likuma 14. panta pirmās daļas pirmo un ceturto teikumu, vienlaikus paredzot, ka piemaksas apmērs nedrīkst pārsniegt 20 procentu apmēru no noteiktās mēnešalgas. Šādā redakcijā projekta 5. punkts ir pretrunā atlīdzības likuma 14. panta pirmās daļas pirmajā un ceturtajā teikumā noteiktajam. Lai izvairītos no tā, ka projekta 5. punktā ietvertais regulējums ir pretrunā atlīdzības likumā noteiktajam, kā arī korekti izpildītu Ministru kabinetam doto pilnvarojumu, aicinām projekta 5. punktu noformulēt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papildus saviem tiešajiem amata pienākumiem, prokurors aizvieto prombūtnē esošu amatpersonu, pilda vēl citus pienākumus, kā arī, ja stažējas augstāka līmeņa prokurora amatā, kurā ieceltais prokurors ir prombūtnē vai kurš ir vakants, prokurors saņem piemaksu ne vairāk kā 20 procentu apmērā no tai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var noteikt piemaksu par nozīmīgu ieguldījumu attiecīgās institūcijas stratēģisko mērķu sasniegšanā. Šādā gadījumā piemaksas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14. panta 12. daļa paredz, ka amatpersonai (darbiniekam) var noteikt piemaksu par nozīmīgu ieguldījumu attiecīgās institūcijas stratēģisko mērķu sasniegšanā. Piemaksas apmērs mēnesī nedrīkst pārsniegt 30 procentus no amatpersonai (darbiniekam) noteiktās mēnešalgas. Projekta 7. punkta pirmais un otrais teikums pēc būtības dublē atlīdzības likuma 14. panta 12. daļu, vienlaikus paredzot, ka piemaksas apmērs nedrīkst pārsniegt 20 procentu apmēru no noteiktās mēnešalgas. Šādā redakcijā projekta 7. punkta pirmais un otrais teikums ir pretrunā atlīdzības likuma 14. panta 12. daļa noteiktajam. Lai izvairītos no tā, ka projekta 7. punkta pirmajā un otrajā teikumā ietvertais regulējums dublē un ir pretrunā atlīdzības likumā noteiktajam, kā arī korekti izpildītu Ministru kabinetam doto pilnvarojumu, aicinām projekta 7. punktu noformulēt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amatpersonai (darbiniekam) nosaka piemaksu par nozīmīgu ieguldījumu attiecīgās institūcijas stratēģisko mērķu sasniegšanā, tās apmērs nepārsniedz 20 procentu apmēru no tai noteiktās mēnešalgas. Ierobežojums neattiecas uz valsts drošības iestādes amatpersonu (darbinieku), kurai piemaksas apmērs nedrīkst pārsniegt 30 procentus no amatpersonai (darbiniekam)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Amatpersonai (darbiniekam) piemaksa vai to kopsumma kopā ar mēnešalgu nedrīkst pārsniegt Ministru prezidentam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atbilstoši Ministru kabineta 2009. gada 3. februāra noteikumu Nr. 108 "Normatīvo aktu projektu sagatavošanas noteikumi" 3.2. apakšpunktā noteiktajam svītrot projekta 10. punktu, jo tas dublē atlīdzības likuma 14. panta 13. daļu, kas paredz, ka  piemaksu kopsumma kopā ar mēnešalgu nedrīkst pārsniegt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Šos noteikumus piemēro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Oficiālo publikāciju un tiesiskās informācijas likuma 9. panta ceturtā daļa paredz, ka normatīvajam aktam vai tā daļai nav atpakaļejoša spēka, izņemot likumā īpaši paredzētus gadījumus, aicinām svītrot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29.12.2025.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29.12.2025.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