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 ja tās neizvieto pie dzīvojamās vai publiskās apbūves teritorijas.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grozījumu 133.6 punktā noteiktais ierobežojums neatbilst noteikumu projekta mērķim, proti, atvieglot atsevišķi stāvošu patvertņu, tostarp mobilo patvertņu, izvietošanu un novērst teritorijas plānojumā noteiktos šķēršļus to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240 dzīvojamās apbūves teritorijas ietver savrupmāju apbūves teritoriju, mazstāvu dzīvojamās apbūves teritoriju un daudzstāvu dzīvojamās apbūves teritoriju. Publiskās apbūves teritorija paredzēta publiska rakstura iestāžu un objektu izvietošanai. Arī jauktas centra apbūves teritorijā ir atļauta dzīvojamā un publiskā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133.6 punktā noteiktais ierobežojums izslēdz iespēju piemērot atvieglojumu teritorijās, kurās atrodas lielākā daļa dzīvojamo māju, izglītības iestāžu, ārstniecības iestāžu, sociālās aprūpes iestāžu, tirdzniecības objektu un citu publisku ēku. Tieši pie šīm ēkām ir nepieciešams nodrošināt patveršanās iespējas lielam cilvēku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saglabā šķēršļus patvertņu izvietošanai blīvi apbūvētās teritorijās un ir pretrunā Ministru kabineta dotajam uzdevumam paredzēt tiesības atkāpties no teritorijas plānojuma prasībām. Tas neatbilst arī noteikumu projekta anotācijā norādītajam mērķim veicināt atsevišķi stāvošu patvertņu būvniecību, īpaši pilsētās un citās blīvi apbūvētās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133.6 punktā vārdus " ja tās neizvieto pie dzīvojamās vai publiskās apbūves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03.09.2026.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03.09.2026.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Atzinumi_26-TA-1797.docx</dc:title>
</cp:coreProperties>
</file>

<file path=docProps/custom.xml><?xml version="1.0" encoding="utf-8"?>
<Properties xmlns="http://schemas.openxmlformats.org/officeDocument/2006/custom-properties" xmlns:vt="http://schemas.openxmlformats.org/officeDocument/2006/docPropsVTypes"/>
</file>