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 Cobalt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4.</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87.</w:t>
            </w:r>
            <w:r w:rsidR="00000000" w:rsidRPr="00000000" w:rsidDel="00000000">
              <w:rPr>
                <w:vertAlign w:val="superscript"/>
                <w:rtl w:val="0"/>
              </w:rPr>
              <w:t xml:space="preserve">10</w:t>
            </w:r>
            <w:r w:rsidR="00000000" w:rsidRPr="00000000" w:rsidDel="00000000">
              <w:rPr>
                <w:rtl w:val="0"/>
              </w:rPr>
              <w:t xml:space="preserve"> punktā minētās E</w:t>
            </w:r>
            <w:r w:rsidR="00000000" w:rsidRPr="00000000" w:rsidDel="00000000">
              <w:rPr>
                <w:vertAlign w:val="subscript"/>
                <w:rtl w:val="0"/>
              </w:rPr>
              <w:t xml:space="preserve">i</w:t>
            </w:r>
            <w:r w:rsidR="00000000" w:rsidRPr="00000000" w:rsidDel="00000000">
              <w:rPr>
                <w:rtl w:val="0"/>
              </w:rPr>
              <w:t xml:space="preserve"> komponentes aprakstu,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w:t>
            </w:r>
            <w:r w:rsidR="00000000" w:rsidRPr="00000000" w:rsidDel="00000000">
              <w:rPr>
                <w:vertAlign w:val="subscript"/>
                <w:rtl w:val="0"/>
              </w:rPr>
              <w:t xml:space="preserve">i</w:t>
            </w:r>
            <w:r w:rsidR="00000000" w:rsidRPr="00000000" w:rsidDel="00000000">
              <w:rPr>
                <w:rtl w:val="0"/>
              </w:rPr>
              <w:t xml:space="preserve"> – elektroenerģijas komercuzskaites dati par tirdzniecības intervālā i sistēmā nodotās enerģijas apjomu (megavatstundas).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visi AS "Sadales tīkls" komercuzskaites ierīces ir verificētas, kas jau nodrošina verificētu nodoto elektroenerģijas apjomu. Minētās komponentes aprakstā minētais vārds "verificēt" liek uzskatīt, ka sistēmas operatoram būtu jāveic vēl kādas papildus darbības – jāverificē tirdzniecības intervālā i tīklā nodotās elektroenerģijas apjoms, neskatoties uz to, ka komeruzskaites ierīces ir verificētas. AS "Sadales tīkls" ieskatā, noteikumu projektā būtu jāatturās, ka komercuzskaites dati tiktu vēl kā īpaši verificēti no sistēmas operatora puses. Šāda verificēšana radīs sistēmas operatoriem papildu administratīvo slogu. Papildus norādāms, ka elektroenerģijas komercuzskaites dati tiks uzturēti vienotajā elektroenerģijas tirgus datu apmaiņas un uzglabāšanas platformā, kur nepieciešamības gadījumā tos ar laiku varētu iegūt arī kontrolējošās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4.</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87.</w:t>
            </w:r>
            <w:r w:rsidR="00000000" w:rsidRPr="00000000" w:rsidDel="00000000">
              <w:rPr>
                <w:vertAlign w:val="superscript"/>
                <w:rtl w:val="0"/>
              </w:rPr>
              <w:t xml:space="preserve">7</w:t>
            </w:r>
            <w:r w:rsidR="00000000" w:rsidRPr="00000000" w:rsidDel="00000000">
              <w:rPr>
                <w:rtl w:val="0"/>
              </w:rPr>
              <w:t xml:space="preserve">.9. apakšpunktu, jo AS "Sadales tīkls" ieskatā nebūtu pieļaujams, ka trešās puses būtu tiesīgas vienoties par citiem aprobežojuma ierobežojumiem vai atvieglojumiem, kas nav noteikti Aizsargjoslu likumā, saistībā ar AS "Sadales tīkls" īpašumā esošiem elektrotīkliem. Gadījumā, ja normu ir plānots attiecināt tikai uz iekšējiem elektrotīkliem, tad normā tas būtu skaidri norādāms, ka puses vienojas par kārtību kādā vēja parka un ar to saistīto iekšējo elektrolīniju aizsargjoslā īpašuma robežās veic kokmateriālu krautuvju izvietošanu. Attiecīgi apbūves tiesības līgumā puses varētu vienoties tikai par vēja parka valdījumā esošās infrastruktūras jautājumiem. Vienlaikus lūdzam anotācijā sniegt plašāku normas piemērošanas aprakstu norādot vai ar to būtu izprotams, ka puses var vienoties un atkāpties no Aizsargjoslu likuma 35. un 45. pantā minētajiem aprobežojumiem.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4.</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87.</w:t>
            </w:r>
            <w:r w:rsidR="00000000" w:rsidRPr="00000000" w:rsidDel="00000000">
              <w:rPr>
                <w:vertAlign w:val="superscript"/>
                <w:rtl w:val="0"/>
              </w:rPr>
              <w:t xml:space="preserve">7</w:t>
            </w:r>
            <w:r w:rsidR="00000000" w:rsidRPr="00000000" w:rsidDel="00000000">
              <w:rPr>
                <w:rtl w:val="0"/>
              </w:rPr>
              <w:t xml:space="preserve">.8. apakšpunktu, jo izbūvētās sistēmas operatora apakšstacijas un elektrotīkli ir sistēmas operatora īpašums un nav pieļaujams, ka trešās puses ierobežotu sistēmas operatora rīcības brīvību saistībā ar tā īpašumu. Sistēmas operatora infrastruktūras, kas būs saistīta ar attiecīgo vēja parku un nodrošinās vēja parka darbību un pieslēgumu pārejai elektroenerģijas sistēmai, ierīkošana būtu īstenojama atbilstoši jau pastāvošajai kārtībai – Enerģētikas likuma 24.panta 1</w:t>
            </w:r>
            <w:r w:rsidR="00000000" w:rsidRPr="00000000" w:rsidDel="00000000">
              <w:rPr>
                <w:vertAlign w:val="superscript"/>
                <w:rtl w:val="0"/>
              </w:rPr>
              <w:t xml:space="preserve">2</w:t>
            </w:r>
            <w:r w:rsidR="00000000" w:rsidRPr="00000000" w:rsidDel="00000000">
              <w:rPr>
                <w:rtl w:val="0"/>
              </w:rPr>
              <w:t xml:space="preserve"> daļa, Ministru kabineta 25.07.2006. noteikumiem Nr.603 "Kārtība, kādā aprēķināma un izmaksājama atlīdzība par energoapgādes objekta ierīkošanai vai rekonstrukcijai nepieciešamā zemes īpašuma lietošanas tiesību ierobežošanu". Gadījumā, ja ar noteikumu projekta 87.</w:t>
            </w:r>
            <w:r w:rsidR="00000000" w:rsidRPr="00000000" w:rsidDel="00000000">
              <w:rPr>
                <w:vertAlign w:val="superscript"/>
                <w:rtl w:val="0"/>
              </w:rPr>
              <w:t xml:space="preserve">7</w:t>
            </w:r>
            <w:r w:rsidR="00000000" w:rsidRPr="00000000" w:rsidDel="00000000">
              <w:rPr>
                <w:rtl w:val="0"/>
              </w:rPr>
              <w:t xml:space="preserve">.8. apakšpunktu ir plānots aptvert tikai iekšējos elektrotīklus un apakšstacijas (īpašuma robežās ārpus piešķirtā zemesgabala), tad normā tas būtu skaidri jānorāda, ka puses apbūves tiesību līgumā vienojas par iekšējo elektrotīklu un apakšstaciju ekspluatāciju un atlīdzību par minētās inženierbūvju izmantošanu ārpus apbūves tiesības līgumā noteiktā zemesgabala īpašuma robežās tiklā ciktāl tie ir iekšējie elektrotīkli un apakšstacijas. Attiecīgā vienošanās varētu būt tikai par vēja parka valdījumā esošās infrastruktūras ierīkošanu. Labākai normas uztveramībai, lūdzam papildināt anotāciju ar minētās normas tvēruma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4.</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87.</w:t>
            </w:r>
            <w:r w:rsidR="00000000" w:rsidRPr="00000000" w:rsidDel="00000000">
              <w:rPr>
                <w:vertAlign w:val="superscript"/>
                <w:rtl w:val="0"/>
              </w:rPr>
              <w:t xml:space="preserve">7</w:t>
            </w:r>
            <w:r w:rsidR="00000000" w:rsidRPr="00000000" w:rsidDel="00000000">
              <w:rPr>
                <w:rtl w:val="0"/>
              </w:rPr>
              <w:t xml:space="preserve">.7. apakšpunktu, jo nav izprotama jēdziena "saistītā infrastruktūra" nozīme. Ar vēja parka izbūvi var būt saistīta arī sistēmas operatora infrastruktūra (jaunizbūvējamās vai esošās sistēmas operatora elektrolīnijas,  sistēmas operatora apakšstacijas), kas tiks ierīkotas/pārbūvētas, lai nodrošinātu vēja parka pieslēgumu pārējai elektroenerģijas sistēmai. Līdz ar to apbūves tiesību līgumā puses var vienoties tikai par vēja parka valdījumā esošās infrastruktūras demontāžu konkrētā īpašuma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23-TA-1122</w:t>
    </w:r>
    <w:r>
      <w:br/>
    </w:r>
    <w:r w:rsidR="00000000" w:rsidRPr="00000000" w:rsidDel="00000000">
      <w:rPr>
        <w:rtl w:val="0"/>
      </w:rPr>
      <w:t xml:space="preserve">Izdrukāts 10.05.2023.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23-TA-1122</w:t>
    </w:r>
    <w:r>
      <w:br/>
    </w:r>
    <w:r w:rsidR="00000000" w:rsidRPr="00000000" w:rsidDel="00000000">
      <w:rPr>
        <w:rtl w:val="0"/>
      </w:rPr>
      <w:t xml:space="preserve">Izdrukāts 10.05.2023.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Atzinumi_23-TA-1122.docx</dc:title>
</cp:coreProperties>
</file>

<file path=docProps/custom.xml><?xml version="1.0" encoding="utf-8"?>
<Properties xmlns="http://schemas.openxmlformats.org/officeDocument/2006/custom-properties" xmlns:vt="http://schemas.openxmlformats.org/officeDocument/2006/docPropsVTypes"/>
</file>