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24-TA-781: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mediju politikas pamatnostādnes 2024.–2027. 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Pamatnostādņu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mediju politikas pamatnostādnes 2024.-2027.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 sadaļā “Politikas rezultāti un rezultatīvie rādītāji” 1.3. punktu izteikt šādā redakcijā: “Veicināts subtitrēta satura apjoma pieaugums televīzijas programmu kopējā raidlaikā” (dokumenta 6.lpp.).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 sadaļas “Rīcības virzieni un uzdevumi” 4.apakšsadaļas “Kvalitatīva mediju vide” I Rīcības virziena “Stipra Latvijas mediju vide un informatīvā telpa” 2. uzdevumā “Uzlabot komerciālo mediju darbības vidi, pilnveidojot mediju atbalsta mehānismus” NEPLP norādīt kā līdzatbildīgo, nevis atbildīgo institūciju (dokumenta 13.lpp.).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 sadaļā “Politikas rezultāti un rezultatīvie rādītāji” 1.3. punktu izteikt šādā redakcijā: “Veicināts subtitrēta satura apjoma pieaugums televīzijas programmu kopējā raidlaikā” (dokumenta 6.lpp.).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 sadaļas “Rīcības virzieni un uzdevumi” 4.apakšsadaļas “Kvalitatīva mediju vide” I Rīcības virziena “Stipra Latvijas mediju vide un informatīvā telpa” 2. uzdevumā “Uzlabot komerciālo mediju darbības vidi, pilnveidojot mediju atbalsta mehānismus” NEPLP norādīt kā līdzatbildīgo, nevis atbildīgo institūciju (dokumenta 13.lpp.).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Balode (NEPLP)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27.08.2024.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27.08.2024.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