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iestādei ir tiesības vienpusēji atkāpties no līguma par projekta īstenošanu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uzmanītu uz to, ka Ministru kabineta noteikumos nevar būt iekļautas tādas materiālās tiesību normas, kas veidotu no pilnvarojošā likuma būtiski atšķirīgas tiesiskās attiecības. Ievērojot minēto, lūdzam noteikumu projektā svītrot vienošanās par projekta īstenošanu vienpusēja uzteikuma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anotācijas 5. sadaļas 1. tabulā (turpmāk – Tabula) norādītas Eiropas Savienības regulu vienības, kas ieviestas tabulas B ailē norādītajās noteikumu projekta vienībās. Savukārt noteikumu projektā, piemēram, 2. un 3. punktā, nav norādītas atsauces uz Tabulas A ailē norādītajām Eiropas Savienības regulu normām. Ievērojot, ka vienīgais regulu ieviešanas veids nacionālajos normatīvajos aktos ir atsauču veidošana uz tām, lūdzam attiecīgi papildināt noteikumu projektu ar atsaucēm uz attiecīgajām Eiropas Savienības regulu normām vai precizēt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12.05.2023. 14.14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12.05.2023. 14.14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Atzinumi_23-TA-760.docx</dc:title>
</cp:coreProperties>
</file>

<file path=docProps/custom.xml><?xml version="1.0" encoding="utf-8"?>
<Properties xmlns="http://schemas.openxmlformats.org/officeDocument/2006/custom-properties" xmlns:vt="http://schemas.openxmlformats.org/officeDocument/2006/docPropsVTypes"/>
</file>