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norādīt sadaļā 2.4. atbilstības izmaksas, nevis sadaļā 2.3. administratīvās izmaksas, jo prasība nav saistīta ar regulāru informācijas sniegšanu, bet ar vienreizēju rēķinu formas pielāgošanu. Vienlaikus vēršam uzmanību, ka formulā ievietojamās vērtības ir stundas samaksas likme, nevis mēnešalga, kā arī laika patēriņš ir norādāms stundās, nevis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02.07.2024.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02.07.2024.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