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ziņojums“Digitālās veselības stratēģija līdz 2029. 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28.06.2023.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28.06.2023.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