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mēneša darba algas noteikšanas un pārskatīšanas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Minimālās mēneša darba algas noteikšanas un pārskatīšanas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(turpmāk - LDDK) uztur iebildumu pret Projekta punktu 2.1. LM piedāvātajā redakcijā un var atbalstīt Minimālās algas apmēru (turpmāk - MA) kā fiksētu procentuālu atvasinājumu no iepriekšējā perioda vidējās algas valstī, ja tiek ievēroti šādi nosacījumi: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Bruto minimālā mēneša darba alga ir 40% līdz 45% no vidējās bruto darba samaksas pēdējā gadā pirms lēmuma pieņemšanas.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Ministru kabinetam tiek paredzēta iespēja ekonomikas recesijas vai – jo īpaši - krīzes gadījumos noteikt zemāku MA procentuālo atvasinājumu no iepriekšējā perioda vidējās algas, nekā vispārīgajā gadījumā.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Neilande (LDDK) (Rihards Blese (LDDK)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28.10.2024. 22.22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28.10.2024. 22.22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