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23-TA-979: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energoefektivitātes nodevas apmēru un tās aprēķināšanas, piemērošanas, maksāšanas un kontroles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Nodevu maksā elektroenerģijas lietotājs, kas atbilst Energoefektivitātes likumā noteiktajam lielā elektroenerģijas patērētāja statusam (turpmāk – lielais elektroenerģijas patērētājs), ja tas nav izpildījis vienu no šādām darbībām: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(turpmāk – Noteikumi Nr. 108) 3.2. apakšpunkts noteic, ka normatīvā akta projektā neietver normas, kas dublē augstāka vai tāda paša spēka normatīvā akta tiesību normās ietverto normatīvo regulējumu. Ievērojot minēto, lūdzam precizēt projekta 3. punktu, nosakot, ka energoefektivitātes nodevu maksā lielais elektroenerģijas patērētājs, kurš nav izpildījis Energoefektivitātes likuma 12. panta trešajā daļā noteikto pienākumu, un svītrot projekta 3.1., 3.2., 3.3. un 3.4.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atbilstoši precizēt projekta anotācijas 1.3.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Lielajam elektroenerģijas patērētājam, kurš pēc Energoefektivitātes likuma 12. panta piecpadsmitajā daļā minētā termiņa Būvniecības valsts kontroles birojā (turpmāk – Birojs) ir iesniedzis energoauditora vai neatkarīga eksperta ēku energoefektivitātes jomā apstiprinātu bilanci, kas parāda katram apakšlietotājam nodotās elektroenerģijas patēriņu un paša lielā elektroenerģijas patērētāja elektroenerģijas patēriņu, nodevu šo noteikumu 3. punktā minētajos gadījumos aprēķina par pamatu ņemot lielā elektroenerģijas patērētāja bilancē norādītās paša izlietotās elektroenerģijas apjomu (MWh) attiecīgajā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Energoefektivitātes likuma 12. panta 15. daļa jau noteic, ka lielajam elektroenerģijas patērētājam noteiktos gadījumos jāiesniedz uzņēmuma energoauditora vai neatkarīga eksperta ēku energoefektivitātes jomā apstiprināta elektroenerģijas patēriņa bilance, kas parāda katram apakšlietotājam nodotās elektroenerģijas patēriņu un paša lielā elektroenerģijas patērētāja elektroenerģijas patēriņu. Informējam, ka atbilstoši Noteikumu Nr. 108 3.2. apakšpunktam normatīvā akta projektā neietver normas, kas dublē augstāka vai tāda paša spēka normatīvā akta tiesību normās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projekta 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Pirms tiek pieņemts lēmums par nodevas piemērošanu saskaņā ar šo noteikumu 5. punktu, Birojs nosūta lielajam elektroenerģijas patērētājam atgādinājumu ar lūgumu 30 dienu laikā pēc atgādinājuma saņemšanas sniegt informāciju par pienākumu izpildi saskaņā ar normatīvajiem aktiem energoefektivitātes uzraudzības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Paziņošanas likuma 3. panta pirmā daļa noteic, ka dokumentu personai var paziņot uz vietas iestādē vai piegādājot ar tās norīkota darbinieka vai ziņneša starpniecību, izmantojot pasta pakalpojumus, izmantojot elektroniskos sakarus vai publiski. Oficiālās elektroniskās adreses likuma 12. panta pirmā daļa paredz oficiālās elektroniskās adreses izmantošanas prioritāti, proti, ja privātpersonai ir aktivizēts oficiālās elektroniskās adreses konts, valsts iestāde un privātpersona sazinās elektroniski un elektronisko dokumentu nosūta, izmantojot oficiālo elektronisko adresi. Paskaidrojam, ka paziņošanas prezumpcija ir atkarīga no tā, kurā no minētajiem veidiem dokuments ir paziņots – piemēram, ja dokuments paziņots ar elektroniskā pasta starpniecību, tad atbilstoši Paziņošanas likuma 9. panta otrajai daļai tas uzskatāms par paziņotu otrajā darba dienā pēc tā nosūtīšanas. Tādējādi būtisks ir dokumenta paziņošanas, nevis saņemšanas brīdis.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projekta 6. punktā vārdus "pēc atgādinājuma saņemšanas" un svītrot projekta 7. punkta otrajā teikumā vārdu "saņemšanas". Vienlaikus lūdzam atbilstoši precizēt projekta anotācijas 1.3.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Nodevu ieskaita valsts pamatbudžetā.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gan projekta 8. punkts, gan projekta 9. punkts noteic, ka energoefektivitātes nodevu ieskaita (iemaksā) valsts pamatbudžetā. Turklāt no Energoefektivitātes likuma 13. panta trešās un piektās daļas jau izriet, ka energoefektivitātes nodevu iemaksā valsts pamatbudžetā. Ievērojot, ka atbilstoši Noteikumu Nr. 108 3.2. un 3.3. apakšpunktam normatīvā akta projektā neietver normas, kas dublē augstāka vai tāda paša spēka normatīvā akta tiesību normās vai pašā normatīvā akta projektā ietverto normatīvo regulējumu, lūdzam svītrot projekta 9.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tiek kontrolēta energoefektivitātes nodevas samaksa noteiktajos termiņos;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no likuma "Par nodokļiem un nodevām" 1. panta 5.</w:t>
            </w:r>
            <w:r w:rsidR="00000000" w:rsidRPr="00000000" w:rsidDel="00000000">
              <w:rPr>
                <w:vertAlign w:val="superscript"/>
                <w:rtl w:val="0"/>
              </w:rPr>
              <w:t xml:space="preserve">1</w:t>
            </w:r>
            <w:r w:rsidR="00000000" w:rsidRPr="00000000" w:rsidDel="00000000">
              <w:rPr>
                <w:rtl w:val="0"/>
              </w:rPr>
              <w:t xml:space="preserve"> punkta un Energoefektivitātes likuma 13. panta ceturtās daļas jau izriet, ka energoefektivitātes nodevu administrē un tās samaksu kontrolē Būvniecības valsts kontroles birojs. Ievērojot, ka atbilstoši Noteikumu Nr. 108 3.2. apakšpunktam normatīvā akta projektā neietver normas, kas dublē augstāka vai tāda paša spēka normatīvā akta tiesību normās ietverto normatīvo regulējumu, lūdzam svītrot projekta 11.1.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gadījumos, ja lielais elektroenerģijas patērētājs noteiktajā termiņā nav samaksājis nodevu, tam tiek aprēķināta nokavējuma nauda saskaņā ar likumu "Par nodokļiem un nodevām";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likuma "Par nodokļiem un nodevām" 29. panta otrā daļa jau noteic, ka par nodevu maksājuma samaksas termiņa nokavējumu maksātājam tiek aprēķināta nokavējuma nauda — no laikā nenomaksātā pamatparāda 0,05 procenti par katru nokavēto dienu, j</w:t>
            </w:r>
            <w:r w:rsidR="00000000" w:rsidRPr="00000000" w:rsidDel="00000000">
              <w:rPr>
                <w:u w:val="single"/>
                <w:rtl w:val="0"/>
              </w:rPr>
              <w:t xml:space="preserve">a konkrētā nodokļa likumā nav noteikti citi nokavējuma naudas apmēri</w:t>
            </w:r>
            <w:r w:rsidR="00000000" w:rsidRPr="00000000" w:rsidDel="00000000">
              <w:rPr>
                <w:rtl w:val="0"/>
              </w:rPr>
              <w:t xml:space="preserve">. Ievērojot, ka atbilstoši Noteikumu Nr. 108 3.2. apakšpunktam normatīvā akta projektā neietver normas, kas dublē augstāka vai tāda paša spēka normatīvā akta tiesību normās ietverto normatīvo regulējumu, lūdzam svītrot projekta 11.2.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23-TA-979</w:t>
    </w:r>
    <w:r>
      <w:br/>
    </w:r>
    <w:r w:rsidR="00000000" w:rsidRPr="00000000" w:rsidDel="00000000">
      <w:rPr>
        <w:rtl w:val="0"/>
      </w:rPr>
      <w:t xml:space="preserve">Izdrukāts 15.06.2023. 14.41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23-TA-979</w:t>
    </w:r>
    <w:r>
      <w:br/>
    </w:r>
    <w:r w:rsidR="00000000" w:rsidRPr="00000000" w:rsidDel="00000000">
      <w:rPr>
        <w:rtl w:val="0"/>
      </w:rPr>
      <w:t xml:space="preserve">Izdrukāts 15.06.2023. 14.41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Atzinumi_23-TA-979.docx</dc:title>
</cp:coreProperties>
</file>

<file path=docProps/custom.xml><?xml version="1.0" encoding="utf-8"?>
<Properties xmlns="http://schemas.openxmlformats.org/officeDocument/2006/custom-properties" xmlns:vt="http://schemas.openxmlformats.org/officeDocument/2006/docPropsVTypes"/>
</file>