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Latvijas Universitātes Akadēmiskā centra teritorijai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Pilnīgākai informācijas atspoguļošanai rīkojuma projektā lūdzam norādīt arī nekustamo īpašumu kadastra numurus. Kā arī lūdzam pievienot rīkojuma projekta paskaidrojošajiem materiāliem nekustamo īpašumu raksturojošo informāciju, tai skaitā zemesgrāmatu izdrukas un informāciju no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informācijas izsekojamību, lūdzam anotācijas 1.1."Pamatojums" sadaļā "Apraksts" precizēt norādīto informāciju par finansējumu, kas piesaistīts otrā posma īstenošanai no Eiropas Savienības struktūrfondu un Kohēzijas fonda 2014.-2020.gada plānošanas perioda darbības programmas "Izaugsme un nodarbinātība" 1.1.1.4.pasākuma "P&amp;A infrastruktūras attīstīšana Viedās specializācijas jomās un zinātnisko institūciju institucionālās kapacitātes stiprināšana" un 8.1.1.specifiskā atbalsta mērķa "Palielināt modernizēto STEM, tajā skaitā medicīnas un radošās industrijas, studiju programmu skaitu", norādot konkrētus projektu nosaukumus un numurus.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pārskatīt pieteiktā saīsinājuma "ERAF" lietojumu, ņemot vērā, ka minētais saīsinājums tiek lietots gan pie pirmā posma investīcijām, kas veiktas ar Eiropas rekonstrukcijas un attīstības fonda atbalstu, gan pie otrā posma investīcijām, kas veiktas ar Eiropas Reģionālās attīstības fonda atbalstu. Vēršam uzmanību, ka norādītie atbalsta instrumenti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17.panta pirmajā daļā noteiktas prasības priekšlikuma par nacionālo interešu objektu izveidošanu noformēšanai, tai skaitā, noteikts, ka priekšlikumā ietver ietekmes uz vidi novērtējuma rezultātus, ja tas ir nepieciešams saskaņā ar normatīvo aktu prasībām. Saskaņā ar Teritorijas attīstības plānošanas likuma 17.panta trešo daļu, ja netiek piemērots ietekmes uz vidi novērtējums, attiecīgās nozares ministrija Ministru kabineta noteiktajā kārtībā organizē sabiedrības informēšanu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skaidrot anotācijā, vai Latvijas Universitātes Akadēmiskā centra izveides rezultātā ir paredzēts veikt darbības, kurām atbilstoši likumam "Par ietekmes uz vidi novērtējumu" būtu nepieciešams veikt ietekmes uz vidi novērtējumu, vai arī ir organizēta sabiedrības informēšana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ir ievēroti minētā likuma 17.panta otrās daļas nosacījumi, kas paredz nacionālo interešu objektam noteikt tā funkcionēšanai nepieciešamo teritoriju un aizsargjoslu, ja tāda paredzēta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06.10.2023.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06.10.2023.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Atzinumi_23-TA-2035.docx</dc:title>
</cp:coreProperties>
</file>

<file path=docProps/custom.xml><?xml version="1.0" encoding="utf-8"?>
<Properties xmlns="http://schemas.openxmlformats.org/officeDocument/2006/custom-properties" xmlns:vt="http://schemas.openxmlformats.org/officeDocument/2006/docPropsVTypes"/>
</file>