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2013. gada 2. jūlija noteikumos Nr. 364 "Noteikumi par zvērināta tiesu izpildītāja rīcību ar bezmantinieku mantu" (Latvijas Vēstnesis, 2013, 141., 199. nr.; 2016, 159. nr.; 2022, 9. nr.; 2023, 77.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Pašvaldību savienība iebilst noteikumu projekta 131.punkta redakcijai, jo Pašvaldību likums nosaka, ka bezmantinieku īpašumi ar dzīvojamo funkciju piekrīt pašvaldībām, pēc būtības, ņemot vērā spēkā esošā normatīvā regulējuma nepilnības, </w:t>
            </w:r>
            <w:r w:rsidR="00000000" w:rsidRPr="00000000" w:rsidDel="00000000">
              <w:rPr>
                <w:u w:val="single"/>
                <w:rtl w:val="0"/>
              </w:rPr>
              <w:t xml:space="preserve">pašvaldība  īpašumus nopērk no valsts</w:t>
            </w:r>
            <w:r w:rsidR="00000000" w:rsidRPr="00000000" w:rsidDel="00000000">
              <w:rPr>
                <w:rtl w:val="0"/>
              </w:rPr>
              <w:t xml:space="preserve">. Noteikumu projekta punktā jāparedz, ka gadījumā, ja paliek nesadalīti ienākumi no bezmantinieku mantas atsavināšanas, zvērināts tiesu izpildītājs tos ieskaita ne vien valsts pamatbudžeta ieņēmumu kontā Valsts kasē, bet arī </w:t>
            </w:r>
            <w:r w:rsidR="00000000" w:rsidRPr="00000000" w:rsidDel="00000000">
              <w:rPr>
                <w:u w:val="single"/>
                <w:rtl w:val="0"/>
              </w:rPr>
              <w:t xml:space="preserve">pašvaldības norēķinu kontā.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Dāvids Valters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10.10.2024.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10.10.2024.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