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tiešās attiecināmās personāla izmaksas, kuras ir šo noteikumu </w:t>
            </w:r>
            <w:r w:rsidR="00000000" w:rsidRPr="00000000" w:rsidDel="00000000">
              <w:rPr>
                <w:rtl w:val="0"/>
              </w:rPr>
              <w:t xml:space="preserve">19.5.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minētajām projekta tiešajām attiecināmajām īstenošanas izmaksām. Minētās atbalstāmās darbības ietvaros ir attiecināmas finansējuma saņēmēja un sadarbības partnera projekta vadības personāla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saskaņota pieeja par vienotās likmes apmēru un aprēķinu, kā arī Vadošā iestāde ar 20.02.2024. nosūtīto e-pastu vērsa uzmanību Valsts kanceleju uz pārkompensācijas riskiem un piedāvāja šajā gadījumā katrai kārtai piemērot atšķirīgu vienoto personāla izmaksu likmi – Sabiedrības integrācijas fodam gadījumā 13 %, savukārt Valsts kancelejai – 20 %. Papildus tam joprojām nav sniegta atbilde par to, vai pasākumā ir plānotas sadarbības partnera projekta īstenošanas personāla izmaksas, ņemot vērā noteikumu projekta 21.1.apakšpunktā, 15.punktā un 22.2.apakšpunktā minēto. No vadošai iestādei iesniegtās informācijas par likmes aprēķinu, saprotams, ka sadarbības partneriem nav paredzētas personāla izmaksas. Vēršam uzmanību, ka identisku izmaksu attiecināšanā būtu jāievēro vienāda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darbību izmaksas </w:t>
            </w:r>
            <w:r w:rsidR="00000000" w:rsidRPr="00000000" w:rsidDel="00000000">
              <w:rPr>
                <w:rtl w:val="0"/>
              </w:rPr>
              <w:t xml:space="preserve">19.1.2.</w:t>
            </w:r>
            <w:r w:rsidR="00000000" w:rsidRPr="00000000" w:rsidDel="00000000">
              <w:rPr>
                <w:rtl w:val="0"/>
              </w:rPr>
              <w:t xml:space="preserve"> un </w:t>
            </w:r>
            <w:r w:rsidR="00000000" w:rsidRPr="00000000" w:rsidDel="00000000">
              <w:rPr>
                <w:rtl w:val="0"/>
              </w:rPr>
              <w:t xml:space="preserve">19.1.3. </w:t>
            </w:r>
            <w:r w:rsidR="00000000" w:rsidRPr="00000000" w:rsidDel="00000000">
              <w:rPr>
                <w:rtl w:val="0"/>
              </w:rPr>
              <w:t xml:space="preserve">apakšpunktā</w:t>
            </w:r>
            <w:r w:rsidR="00000000" w:rsidRPr="00000000" w:rsidDel="00000000">
              <w:rPr>
                <w:rtl w:val="0"/>
              </w:rPr>
              <w:t xml:space="preserve"> minēto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nav definētas izmaksu pozīcijas kādas būs attiecināmas 19.1.2. un 19.1.3. apakšpunktā minēto darbību īstenošanas ietvaros. Lūdzam norādīt konkrētas izmaksu pozīcijas,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(uzņēmumu) līgumu izmaksas (ja 19.1.2. un 19.1.3. darbību īstenošanai nepieciešamās attiecināmo izmaksu pozīcijas nav iekļautas 22.2. - 22.17.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granti darba devējiem, kas atbilstoši anotācijā norādītajam plānoti 19.1.3. apakšpunktā minētās atbalstāmās darbības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pasniedzēju, konsultantu, ekspertu un citu speciālistu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skaidrojumu izziņā, taču tas neatbild uz jautājumu, vai noteikumu projekta 22.2.apakšpunkā minētās izmaksas nav uzskatāmas par sadarbības partneru īstenošanas personāla izmaksām. Lūdzam to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 anotācijas izrietēja, ka finansējuma saņēmējs veiks mērķa grupas atbilstības pārbaudi. Ņemot vērā, ka šī informācija no anotācijas dzēsta (šobrīd anotācijā ir tikai par vispārējo un profesionālo izglītības iestāžu pedagogiem un atbalsta personālu), lūdzam skaidrot anotācijā, kā plānots pārliecināties par visas mērķa grupas atbilstību (noteikumu projekta 3.1., 3.2., 3.3., 3.5. apakšpunkti), pēc nepieciešamības papildinot arī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13. decembra sēdes protokollēmumu (prot. Nr. 64 6. § 3. punkts) ministrijām dots uzdevums, </w:t>
            </w:r>
            <w:r w:rsidR="00000000" w:rsidRPr="00000000" w:rsidDel="00000000">
              <w:rPr>
                <w:i w:val="1"/>
                <w:rtl w:val="0"/>
              </w:rPr>
              <w:t xml:space="preserve">izstrādājot Ministru kabineta noteikumu projektus par specifisko atbalsta mērķu īstenošanu, izvērtēt un, ja attiecināms, nodrošināt tiesisko ietvaru, kā arī tehnisko mehānismu, kādā finansējuma saņēmējs var pārbaudīt mērķa grupas dalībnieka atbilstību dalībai projektā, jo īpaši attiecībā uz fizisko personu datiem, kas reģistrēti valsts informācijas sistēmās un projekta īstenošanas laikā valsts informācijas sistēmās var tikt aktualizēti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protokollēmumā (prot. Nr. 36 85. § 3. punkts) noteikto SAM MK noteikumos ir jāparedz nepieciešamību finansējuma saņēmējam veikt projekta izmaksu un ieguvumu analīzi, ja projekta kopējās izmaksas ir lielākas par 1 miljonu euro, vai arī Atbildīgā iestāde SAM MK noteikumu anotācijā pamato kādēļ var nepiemērot minēto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SAM MK noteikumu projektā netiek plānots veikt izmaksu un ieguvumu analīzi un anotācijā ir norādīti iespējamie papildu ieguvumi, bet nenosakot tos monetārā izteiksmē, papildus norādot, ka šobrīd nav iespējams veikt padziļinātāku ekonomisko ieguvumu analīzi vai arī noteikt šādu pienākumu finansējuma saņēmējiem uz projekta iesniegšanas brīdi, līdz ar to nav sniegts pamatojums, ka sabiedrības sociālekonomiskie ieguvumi ir lielāki par šīm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protokollēmumā (prot. Nr. 36 85. § 3. punkts) noteikto aicinām SAM MK noteikumos iekļaut nepieciešamību finansējuma saņēmējam veikt projekta izmaksu un ieguvumu analīzi vai MK noteikumu anotāciju papildināt ar izmaksu un ieguvumu analīzi kurā ar aprēķiniem un datiem pamatot ka sabiedrības sociālekonomiskie ieguvumi ir lielāki par šīm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pirmajā kārtā pieejamais kopējais finansējums Sabiedrības integrācijas fondam ir 9 970 671  euro, ko veido Eiropas Sociālā fonda Plus finansējums – 8 475 070 euro un valsts budžeta līdzfinansējums – 1 495 601 euro. Projekta iesniegumā kopējo pieejamo finansējumu plāno ne vairāk kā 8 397 548 euro apmērā, ko veido Eiropas Sociālā fonda Plus finansējums 7 137 915 euro apmērā un valsts budžeta finansējums 1 259 633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9 970 671  euro, ko veido Eiropas Sociālā fonda Plus finansējums – 8 475 070 euro un valsts budžeta līdzfinansējums – 1 495 601 euro ir plānotais nevis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pirmajā kārtā plānotais kopējais finansējums Sabiedrības integrācijas fondam ir 9 970 671  euro, ko veido Eiropas Sociālā fonda Plus finansējums – 8 475 070 euro un valsts budžeta līdzfinansējums – 1 495 601 euro. Projekta iesniegumā kopējo pieejamo finansējumu plāno ne vairāk kā 8 397 548 euro apmērā, ko veido Eiropas Sociālā fonda Plus finansējums 7 137 915 euro apmērā un valsts budžeta finansējums 1 259 633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otrajā kārtā pieejamais kopējais finansējums Valsts kancelejai ir 5 254 330 euro, ko veido Eiropas Sociālā fonda Plus finansējums – 4 466 180 euro un valsts budžeta līdzfinansējums – 788 150 euro. Projekta iesniegumā  kopējo pieejamo finansējumu plāno ne vairāk kā 4 425 328 euro apmērā, ko veido Eiropas Sociālā fonda Plus finansējums  3 761 528 euro apmērā un valsts budžeta līdzfinansējums 663 800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5 254 330 euro, ko veido Eiropas Sociālā fonda Plus finansējums – 4 466 180 euro un valsts budžeta līdzfinansējums – 788 150 euro ir plānotais nevis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otrajā kārtā plānotais kopējais finansējums Valsts kancelejai ir 5 254 330 euro, ko veido Eiropas Sociālā fonda Plus finansējums – 4 466 180 euro un valsts budžeta līdzfinansējums – 788 150 euro. Projekta iesniegumā  kopējo pieejamo finansējumu plāno ne vairāk kā 4 425 328 euro apmērā, ko veido Eiropas Sociālā fonda Plus finansējums  3 761 528 euro apmērā un valsts budžeta līdzfinansējums 663 800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tiešās attiecināmās personāla izmaksas, kuras ir šo noteikumu </w:t>
            </w:r>
            <w:r w:rsidR="00000000" w:rsidRPr="00000000" w:rsidDel="00000000">
              <w:rPr>
                <w:rtl w:val="0"/>
              </w:rPr>
              <w:t xml:space="preserve">19.5.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20 procentu apmērā no pārējām šo noteikumu minētajām projekta tiešajām attiecināmajām īstenošanas izmaksām. Minētās atbalstāmās darbības ietvaros ir attiecināmas finansējuma saņēmēja un sadarbības partnera projekta vadības personāla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vārdus "personāla atlīdzības izmaksām" lūdzam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šo precizēt kur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22.16. citas informatīvo un izglītojošo pasākumu īstenošanas izmaksas šo noteikumu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kādas citas informatīvo un izglītojošo pasākumu īstenošanas izmaksas būtu attiecināmas atbalstāmās darbības "Komunikācijas un vizuālās identitātes prasību nodrošināšanas pasākumi"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apakšsadaļas "Risinājuma apraksts" punktu "4.3.6.9. pasākumam ir sekojošs dalījums pa intervences kategorijas kodiem un tiem paredzēto finansējuma apjomu" ar informāciju par pasākuma finansējuma dalījumu pa intervences kategorijām </w:t>
            </w:r>
            <w:r w:rsidR="00000000" w:rsidRPr="00000000" w:rsidDel="00000000">
              <w:rPr>
                <w:u w:val="single"/>
                <w:rtl w:val="0"/>
              </w:rPr>
              <w:t xml:space="preserve">kārtu ietvaros</w:t>
            </w:r>
            <w:r w:rsidR="00000000" w:rsidRPr="00000000" w:rsidDel="00000000">
              <w:rPr>
                <w:rtl w:val="0"/>
              </w:rPr>
              <w:t xml:space="preserve">, ņemot vērā, ka pasākuma īstenošana ir sadalīta kārtās un vienai intervences kategorijai ir attiecināmi vairāki kodi, kā arī KPVIS sistēmā intervences kodi ir ievadāmi arī kārtu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vienas intervences kategorijas kodu kopsummai sadalījumā pa kārtām ir jāsakrīt ar kopējo pasākuma plānoto ESF+ finansējumu - 12 941 250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20.02.2024. nosūtīja savus komentārus par anotācijā ietverto informāciju par vienotās likmes aprakstu un nepieciešamajiem papildinājumiem, taču šajā noteikumu projekta versijā tie vēl nav iestrādāti. Lūgums Valsts kancelejai veikt precizējumus atbilstoši nosūtītajai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norādot kāda ir tieši 4.3.6.9. pasākuma ietekme un kādas pozitīvās izmaiņas tautsaimniecībai dos tieši 4.3.6.9. pasākuma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kanceleja un Sabiedrības integrācijas fonds būs finansējuma saņēmēji, savukārt Bērnu aizsardzības centrs Valsts kancelejas sadarbības partneris, lūdzam anotācijas 3.sadaļas 6.punktā sniegto informāciju papildināt, norādot, ka Valsts kancelejai plānotā finansējuma ietvaros ir paredzēts finansējums Bērnu aizsardzības centram, kā arī precizēt informāciju punktā "Cita informācija" par institūcijām, kas pieprasīs projekta īstenošanai nepieciešamo finansējumu. Papildus lūdzam 6.punktā sniegtajā informācijā precizēt 2029. gada indikatīvā finansējuma sadalījumu pa avotiem, lai tas veidotu attiecīgā gada 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27.02.2024.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