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22-TA-3104: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Segto obligāciju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Izteikt 102.panta pirmo daļu šādā redakcijā:
“(1) Par šā likuma 101.panta 1., 2., 4., 7., 9., 10., 13., 15. un 16. punktā minētajiem pārkāpumiem Latvijas Banka ir tiesīga piemērot juridiskajai personai soda naudu līdz 10 procentiem no iepriekšējā finanšu gada neto ienākumu summas, kas atbilst summai, kuru saskaņā ar regulu Nr. 575/2013 izmanto, lai aprēķinātu operacionālā riska pašu kapitāla prasību saskaņā ar pamatrādītāja pieeju.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Latvijas Bankas ieskatā, ir pamats papildināt likumprojekta 10. panta redakciju ar atsauci uz vēl trim 101. panta punktiem - 6., 11. un 12. Izvērtējot Segto obligāciju likumu (SOL), secināms, ka SOL 101. panta 6. un 12. punkta izdarītais pārkāpums ir būtisks pārkāpums, jo attiecīgi SOL 90. panta otrā daļa un 68. panta pirmā daļa nosaka aizliegumu attiecīgi emitēt iekšēji emitētas segtās obligācijas un aizliegumu pagarināt segto obligāciju samaksas termiņu. Attiecībā uz SOL 101. panta 11. punkta izdarīto pārkāpumu Latvijas Banka norāda, ka ilgstoša likviditātes rezervju neuzturēšana var būtiski ietekmēt ieguldītāju intereses. Visticamāk Latvijas Banka laikus pamanītu, ka likviditātes rezerves prasības netiek ievērotas jau sākumposmā un, piemēram, uzliekot pienākumu novērst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iespēja Latvijas Bankai piemērot naudas sodu emitentam vai segto obligāciju sabiedrībai par augstāk minētajiem pārkāpumiem varētu likt noprast, ka šie pārkāpumi var atstāt būtisku ietekmi uz segto obligāciju programmas īstenošanu. Citu sankciju vai administratīvo pasākumu piemērošana varētu nesasniegt vēlamo mērķi - vērst emitenta vai segto obligāciju sabiedrības uzmanību uz pieļauto pārkāpumu būtiskumu un negatīvo ietekmi uz segto obligāciju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102.panta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101.panta 1., 2., 4., </w:t>
            </w:r>
            <w:r w:rsidR="00000000" w:rsidRPr="00000000" w:rsidDel="00000000">
              <w:rPr>
                <w:u w:val="single"/>
                <w:rtl w:val="0"/>
              </w:rPr>
              <w:t xml:space="preserve">6.</w:t>
            </w:r>
            <w:r w:rsidR="00000000" w:rsidRPr="00000000" w:rsidDel="00000000">
              <w:rPr>
                <w:rtl w:val="0"/>
              </w:rPr>
              <w:t xml:space="preserve">, 7., 9., 10., </w:t>
            </w:r>
            <w:r w:rsidR="00000000" w:rsidRPr="00000000" w:rsidDel="00000000">
              <w:rPr>
                <w:u w:val="single"/>
                <w:rtl w:val="0"/>
              </w:rPr>
              <w:t xml:space="preserve">11, 12</w:t>
            </w:r>
            <w:r w:rsidR="00000000" w:rsidRPr="00000000" w:rsidDel="00000000">
              <w:rPr>
                <w:rtl w:val="0"/>
              </w:rPr>
              <w:t xml:space="preserve">., 13., 15. un 16. punktā minētajiem pārkāpumiem Latvijas Banka ir tiesīga piemērot juridiskajai personai soda naudu līdz 10 procentiem no iepriekšējā finanšu gada neto ienākumu summas, kas atbilst summai, kuru saskaņā ar regulu Nr. 575/2013 izmanto, lai aprēķinātu operacionālā riska pašu kapitāla prasību saskaņā ar pamatrādītāja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Kauliņš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22-TA-3104</w:t>
    </w:r>
    <w:r>
      <w:br/>
    </w:r>
    <w:r w:rsidR="00000000" w:rsidRPr="00000000" w:rsidDel="00000000">
      <w:rPr>
        <w:rtl w:val="0"/>
      </w:rPr>
      <w:t xml:space="preserve">Izdrukāts 31.01.2023.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22-TA-3104</w:t>
    </w:r>
    <w:r>
      <w:br/>
    </w:r>
    <w:r w:rsidR="00000000" w:rsidRPr="00000000" w:rsidDel="00000000">
      <w:rPr>
        <w:rtl w:val="0"/>
      </w:rPr>
      <w:t xml:space="preserve">Izdrukāts 31.01.2023.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Atzinumi_22-TA-3104.docx</dc:title>
</cp:coreProperties>
</file>

<file path=docProps/custom.xml><?xml version="1.0" encoding="utf-8"?>
<Properties xmlns="http://schemas.openxmlformats.org/officeDocument/2006/custom-properties" xmlns:vt="http://schemas.openxmlformats.org/officeDocument/2006/docPropsVTypes"/>
</file>