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kura nav sodīta par tīšu noziedzīgu nodarījumu, izņemot, ja persona ir reabilitēta, vai sodāmība ir noņemta vai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8.4.apakšpunktā norādīts, ka par kiberdrošības pārvaldnieku var būt fiziska persona, kura nav sodīta par tīšu noziedzīgu nodarījumu, izņemot, ja </w:t>
            </w:r>
            <w:r w:rsidR="00000000" w:rsidRPr="00000000" w:rsidDel="00000000">
              <w:rPr>
                <w:u w:val="single"/>
                <w:rtl w:val="0"/>
              </w:rPr>
              <w:t xml:space="preserve">persona ir reabilitēta</w:t>
            </w:r>
            <w:r w:rsidR="00000000" w:rsidRPr="00000000" w:rsidDel="00000000">
              <w:rPr>
                <w:rtl w:val="0"/>
              </w:rPr>
              <w:t xml:space="preserve">, vai sodāmība ir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Satversmes aizsardzības birojs saņems minēto informāciju par personas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sistēmas “Sodu reģistrs” darbību regulē Sodu reģistra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2024.gada 27.februārī spēkā stājušos grozījumus Sodu reģistra likuma 23.panta 1.punktā, minētais </w:t>
            </w:r>
            <w:r w:rsidR="00000000" w:rsidRPr="00000000" w:rsidDel="00000000">
              <w:rPr>
                <w:u w:val="single"/>
                <w:rtl w:val="0"/>
              </w:rPr>
              <w:t xml:space="preserve">likums</w:t>
            </w:r>
            <w:r w:rsidR="00000000" w:rsidRPr="00000000" w:rsidDel="00000000">
              <w:rPr>
                <w:rtl w:val="0"/>
              </w:rPr>
              <w:t xml:space="preserve"> vairs </w:t>
            </w:r>
            <w:r w:rsidR="00000000" w:rsidRPr="00000000" w:rsidDel="00000000">
              <w:rPr>
                <w:u w:val="single"/>
                <w:rtl w:val="0"/>
              </w:rPr>
              <w:t xml:space="preserve">neparedz ziņu par personu, pret kuru uzsāktais kriminālprocess ir izbeigts uz reabilitējoša pamata, un attaisnoto personu, par kuru ir stājies spēkā attaisnojošs spriedums uzglabāšanu valsts informācijas sistēmas “Sodu reģistrs” arhīva datubāzē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kā secināms, ka attiecīgās ziņas par kiberdrošības pārvaldnieku no Iekšlietu ministrijas pārziņā esošās valsts informācijas sistēmas “Sodu reģistrs” iegūt nevarēs.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8.4.apakšpunktu, kā arī projektu un projekta anotāciju, norādot minētajā apakšpunktā ietvertās informācijas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B kategorijas informācijas sistēmas standarta lietotāja kontam, ja tiek izmantota attālinātā piekļuve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formulējumu skaidrojot ko nozīmē “āttālināta piekļuve” šī MFA regulējuma kontekstā. Šo var interpretēt divējādi tehniskā izpildījuma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lietotājs slēdzas attālināti pie korporatīvā tīkla ar VPN (tīkla līmeņa, piemēram IPSec) palīdzību un tad izmanto B kategorijas sistēmu. Šajā scenārijā uzskatāms, ka sistēma tiek lietota no iekštīkla, jo gala iekārtai jābūt kontrolētai (atkarīgs no iestādes iekšējās politikas) kura izmanto korporatīvā tīkla iekšējo IP adresāciju (piemērota visi tīkla līmeņa drošības mehānismi korporatīvā tīkla aizsardzībā). Tādejādi MFA prasība ir pārmērīga, sevišķi, ņemot vērā noteikumu 36.2. punkta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 kategorijas informācijas sistēmas lietotāja interfeisam (WEB, rich client, u.t.l.) tīkla līmenī ir iespējams pieslēgties “attālināti” no publiskā tīkla – no jebkurienes. Šādā situācijā MFA pielietojumam ir pievienotā vērtība un tas būtu jāpielieto.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datu pārraide starp iekšējo un ārējo tīklu, kā arī starp iekšējā tīkla segmentiem notiek caur kontrolējamām iekārtām (piemēram, ugunsmūriem, starpniekserveriem), kas ļauj uzraudzīt un ierobežot neatļautu datu plūsmu (piemēram, izmantojot reāllaika kiberuzbrukumu novēršanas un atklāšanas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redakcija paredz, ka mērķa sasniegšanai jālieto iekārtas (hardware), taču realitātē datu pārraides kontrole notiek plaši pielietojot virtualizētus tīkla drošības risinājumus. Lūdzam izteikt formā, kas neierobežotu tīkla drošības risinājumu izpildījumu, piemēram: “datu pārraide starp iekšējo un ārējo tīklu, kā arī starp iekšējā tīkla segmentiem ir kontrolējama (piemēram, ar ugunsmūru, starpniekserveru palīdzību), kas ļauj uzraudzīt un ierobežot neatļautu datu plūsmu (piemēram, izmantojot reāllaika kiberuzbrukumu novēršanas un atklāšanas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piekļuve iekšējā tīklā esošajiem informācijas resursiem ārpus iekšējā tīkla ir iespējama tikai, izmantojot šifrētu virtuālā privātā tīkla (VPN) risinājumu ar stingru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punkta redakcija faktiski nosaka, ka jebkura informācijas sistēma, kuru lieto plašs fizisko personu loks vai plašs iestāžu darbinieku loks, faktiski nedrīkst tikt eksponēta publiskajā tīklā, kas nav pieņemams. Pēc būtības jebkura informācijas sistēma vai informācijas resurss ir izvietots iekšējā tīklā un piekļuve no publiskā vai citiem privātajiem tīkliem tiek kontrolēti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punktu svītrot, vai precizēt kas ar to ir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 kategorijas informācijas sistēmai vismaz viena auditācijas pierakstu versija tiek uzglabāta no informācijas sistēmas atdalītos tehniskajos resursos (piemēram, datu nesējos), ģeogrāfiski nodalītā vietā, telpās, kas aizsargātas pret nesankcionētu piekļuvi un aprīkotas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nav viennozīmīgi izprotama prasības būtība. Lūdzam precizēt vai runa iet par auditācijas pierakstu rezerves kopijas uzglabāšanu vai tomēr nav pieļaujama auditācijas pierakstu glabāšana pašā informācijas sistēmā un tam jāveido atsevišķs loģiski nodalīts auditācijas risinājums? Noteikumu 3.9 sadaļa, kas nosaka auditācijas pierakstu pārvaldību, šādu prasību nesatur.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A konfidencialitātes klases informācijas resursu glabāšanai (</w:t>
            </w:r>
            <w:r w:rsidR="00000000" w:rsidRPr="00000000" w:rsidDel="00000000">
              <w:rPr>
                <w:i w:val="1"/>
                <w:rtl w:val="0"/>
              </w:rPr>
              <w:t xml:space="preserve">at-rest</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punktā minētā prasība komplektā ar pārējām šajos noteikumos definētajām drošības prasībām ir nesamērīga.  Parasti datu informācijas resursu šifrēšanu glabāšanai pielieto: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nodrošinātos pret fizisku datu zādzību (nozogot portatīvo datoru, zibatmiņu, cieto disku, serveri, u.t.l.) un apzinoties, ka šāds risks ir ar zināmu varbūtību.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Gadījumos, ja informācijas resursi fiziski tiek uzglabāti/apstrādati/izmitināti/ ārpakalpojumā, piemēram mākoņdatošanas risinājumos, kā rezultātā pastāv risks, ka pie uzglabātajiem informācijas resursiem var piekļūt atbilstošs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praksē modernas lielapjoma sistēmas uzbūve ir ļoti sarežģīta, sastāv no ļoti daudzām komponentēm un pat vienas sistēmas ietvaros bieži tiek pielietotas dažādas datu uzglabāšanas tehnoloģijas – objektu glabātuves, relāciju datu bāzu vadības sistēmas, datu indeksēšanas risinājumi, rindošanas sistēmas. Noteikumos minētā datu šifrēšanas prasība pēc noklusējuma paredz datu šifrēšanu jebkādās tehnoloģijās neņemot vērā nekādus, tostarp iepriekš minētos, objektīvos risku izvērtējumus. Piemērojot šifrēšanu jebkādās tehnoloģijās tas prasīs papildu skaitļošanas resursus (faktiski būs nepieciešami papildu skaitļošanas resursi), prasīs arī administratīvos resursu, jo šifrēšanas pielietošana noteiks dažādus ierobežojumus ar sistēmām/datu bažēm/sējumiem, sarežģīs un padarīs resursietilpīgāku rezerves kopēšanu, u.t.l. rezultātā pieaugs cilvēkresursu patēriņš šifrēšanas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ir dzēšama vai pielietojama pēc būtības, lai mazinātu riskus pēc objektīva, katras sistēmas risku vērtējuma. Iespējams var definēt minimālās fiziskās drošības prasības vai prasības ārpakalpojumu sniedzējiem, kuras neizpildot informācija jāšifrē to glabājot, bet šāda prasība nevar tikt noteikta globāli visām A konfidencialitātes kategorijas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Satversmes aizsardzības birojs var pārbaudīt IKT kritiskās infrastruktūras nodarbinātos, kā arī, ja komersants sniedz pakalpojumus kritiskajā infrastruktūrā, komersanta īpašnieku, valdes locekļus un nodarbinātos, kuriem ir pieeja kritiskās infrastruktūras funkcionēšanai nozīmīgai informācijai vai tehnoloģiskajām iekārtām vai kuri sniedz kritiskās infrastruktūras funkcionēšanai nozīmīgus pakalpojumus, un izvērtēt informāciju attiecībā uz personas sodāmību par tīšu noziedzīgu nodarījumu un faktiem, kas dod pamatu apšaubīt tās spēju saglabāt ierobežotas pieejamības vai klasificētu informāciju. Pamatojoties uz pārbaudes rezultātiem, Satversmes aizsardzības birojs sniedz IKT kritiskās infrastruktūras īpašniekam vai tiesiskajam valdītājam ieteikumus par drošības pasākumu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87.punktā norādīts, ka </w:t>
            </w:r>
            <w:r w:rsidR="00000000" w:rsidRPr="00000000" w:rsidDel="00000000">
              <w:rPr>
                <w:u w:val="single"/>
                <w:rtl w:val="0"/>
              </w:rPr>
              <w:t xml:space="preserve">Satversmes aizsardzības birojs var pārbaudīt</w:t>
            </w:r>
            <w:r w:rsidR="00000000" w:rsidRPr="00000000" w:rsidDel="00000000">
              <w:rPr>
                <w:rtl w:val="0"/>
              </w:rPr>
              <w:t xml:space="preserve"> IKT kritiskās infrastruktūras nodarbinātos, kā arī, ja komersants sniedz pakalpojumus kritiskajā infrastruktūrā, komersanta īpašnieku, valdes locekļus un nodarbinātos, kuriem ir pieeja kritiskās infrastruktūras funkcionēšanai nozīmīgai informācijai vai tehnoloģiskajām iekārtām vai kuri sniedz kritiskās infrastruktūras funkcionēšanai nozīmīgus pakalpojumus, </w:t>
            </w:r>
            <w:r w:rsidR="00000000" w:rsidRPr="00000000" w:rsidDel="00000000">
              <w:rPr>
                <w:u w:val="single"/>
                <w:rtl w:val="0"/>
              </w:rPr>
              <w:t xml:space="preserve">un izvērtēt informāciju attiecībā uz personas sodāmību par tīšu noziedzīgu nodarījumu</w:t>
            </w:r>
            <w:r w:rsidR="00000000" w:rsidRPr="00000000" w:rsidDel="00000000">
              <w:rPr>
                <w:rtl w:val="0"/>
              </w:rPr>
              <w:t xml:space="preserve"> un faktiem, kas dod pamatu apšaubīt tās spēju saglabāt ierobežotas pieejamības vai klasificētu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Satversmes aizsardzības birojs saņems minēto informāciju par personas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un projekta anotāciju, norādot projekta 87.punktā ietvertās informācijas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subjekti nodrošina savu tīklu un informācijas sistēmu atbilstību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iespējas konkrētāk definēt Projekta 1.2. punktā lietoto terminu “tīkli”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šādu Projekta 1.2. punkta redakciju: “kārtību, kādā subjekti nodrošina datortīklu, to komponenšu, tajā skaitā tādu elektronisko ierīču, kas apstrādā, uzglabā un pārraida datus un informācijas sistēmu atbilstību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w:t>
            </w:r>
            <w:r w:rsidR="00000000" w:rsidRPr="00000000" w:rsidDel="00000000">
              <w:rPr>
                <w:b w:val="1"/>
                <w:rtl w:val="0"/>
              </w:rPr>
              <w:t xml:space="preserve">drošības pasākumi</w:t>
            </w:r>
            <w:r w:rsidR="00000000" w:rsidRPr="00000000" w:rsidDel="00000000">
              <w:rPr>
                <w:rtl w:val="0"/>
              </w:rPr>
              <w:t xml:space="preserve"> – tehniski vai organizatoriski pasākumi, kas tiek noteikti risku pārvaldības ietvaros un samazina risku līdz pieņemamam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Projekta 2.6. punkta redakciju precizēšanu, mainot terminu “risku” ar “kiberrisku” un “pieņemamam līmenim” ar “pieļaujamām vērtībām”, lai nodrošinātu konsekventu terminu lietojumu Projekta ietvaros (termini kiberrisks un pieļaujamās vērtības izmantoti, piemēram, Projekta 25.1. punktā). Aicinām arī vispārīgi izvērtēt terminu lietojumu Projekta ietvaros, lai nodrošinātu viscaur konsekventu terminu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kiberdrošības pārvaldnieku var būt fiziska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Projekta 8. un 9. punkta faktisko piemērošanu. Pašreizējā redakcijā Projekts un tā anotācija nesniedz skaidrību par to, kā Subjekts varēs izvērtēt kiberdrošības pārvaldnieka atbilstību visiem uzskaitītajiem kritērijiem, proti, Projekts neparedz kārtību, kādā Subjekts iegūs informāciju par, piemēram, 8.7., 8.9. punktā ietverto kritēriju.Arī attiecībā uz Latvijas valstspiederīgo būtu ietverama atruna, ka tas nedrīkst radīt riskus Latvijas nacionālās drošības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kiberdrošības pārvaldnieku var būt fiziska persona, kurai ir NATO, Eiropas Savienības vai Eiropas Ekonomikas zonas valsts pilsonība, ja tā atbilst šo noteikumu </w:t>
            </w:r>
            <w:r w:rsidR="00000000" w:rsidRPr="00000000" w:rsidDel="00000000">
              <w:rPr>
                <w:rtl w:val="0"/>
              </w:rPr>
              <w:t xml:space="preserve">8.2.</w:t>
            </w:r>
            <w:r w:rsidR="00000000" w:rsidRPr="00000000" w:rsidDel="00000000">
              <w:rPr>
                <w:shd w:fill="#ffffff" w:val="clear"/>
                <w:rtl w:val="0"/>
              </w:rPr>
              <w:t xml:space="preserve">–</w:t>
            </w:r>
            <w:r w:rsidR="00000000" w:rsidRPr="00000000" w:rsidDel="00000000">
              <w:rPr>
                <w:rtl w:val="0"/>
              </w:rPr>
              <w:t xml:space="preserve">8.9.</w:t>
            </w:r>
            <w:r w:rsidR="00000000" w:rsidRPr="00000000" w:rsidDel="00000000">
              <w:rPr>
                <w:rtl w:val="0"/>
              </w:rPr>
              <w:t xml:space="preserve"> apakšpunkta prasībām, un ja ir saņemts Satversmes aizsardzības biroja atzinums, ka personas noteikšana par kiberdrošības pārvaldnieku nav pretrunā ar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Sagatavojot šo noteikumu </w:t>
            </w:r>
            <w:r w:rsidR="00000000" w:rsidRPr="00000000" w:rsidDel="00000000">
              <w:rPr>
                <w:rtl w:val="0"/>
              </w:rPr>
              <w:t xml:space="preserve">9.</w:t>
            </w:r>
            <w:r w:rsidR="00000000" w:rsidRPr="00000000" w:rsidDel="00000000">
              <w:rPr>
                <w:rtl w:val="0"/>
              </w:rPr>
              <w:t xml:space="preserve"> punktā minēto atzinumu, kompetentā valsts drošības iestāde vērtē šādu informāciju un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nepieciešams svītrot vārdus “kompetentā valsts drošības iestāde”, jo Projekta 9. punktā norādīta Satversmes aizsardzības biroja kompetence atzinuma 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vien tas ir tehniski iespējams,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36. punktā būtu iespējams noteikt, ka daudzfaktoru autentifikācijas sistēma ir attiecināma uz visiem kontiem visu kategoriju sistēmām, ja tehnisko resursu vai informācijas sistēmu ir iespējams savietot ar šādu autentifikācijas metodi.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Subjekts ievieš procesus sava īpašumā un valdījumā esošo tīklu pārvaldībai, nodrošinot,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39.punktu nepieciešams izteikt šādā redakcijā: “Subjekts ievieš procesus savā īpašumā un valdījumā esošo tīklu pārvaldībai, nodrošinot, 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Īpašās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80.3., 81.2., 84.2. punktā noteikto kompetento valsts drošības iestādi, jo, atbilstoši Nacionālā kiberdrošības likuma 7. panta 4. punktam, Satversmes aizsardzības birojam ir noteikts uzdevums izvērtēt informācijas un komunikācijas tehnoloģiju kritiskās infrastruktūras īpašnieku un tiesisko valdītāju īstenojamo kiberrisku pārvaldības pasākumu atbilstību normatīvajos aktos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99.5. saņemts kompetentās valsts drošības atzinums, ka auditora reģistrācija neatbilst valsts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99.5. punktu nepieciešams izteikt šādā redakcijā: “saņemts kompetentās valsts drošības iestādes atzinums, ka auditora reģistrācija neatbilst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99.5. punktā noteiktās kompetentās valsts drošības iestādes precizēšanu, ņemot vērā Projekta 96.1. punktā ietverto atsauci uz 80. punktu, lai nodrošinātu Projekta skaidrību un konsekventu kompetenču uzskaitījumu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kā IKT kritiskās infrastruktūras īpašnieks saistībā ar tās pārziņā esošo informāciju sistēmu skaitu un veicamo darba apjomu, saskata riskus Noteikumu projektu prasību ieviešanai Noteikumu projektā noteiktajos termiņos. Tādējādi, Noteikumu projekta prasību savlaicīgai izpildei lūdzam Noteikumu projekta anotācijā paredzēt finanšu un personāla resursus, kā arī izvērtēt iespēju noteikt vēlāku noteikumu projekta Pārejas noteikumu 127. punktā iekļauto normu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