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uz ugunsdzēsības pasākumiem, glābšanas pasākumiem un ārkārtējām situācijām;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16.7.1. meža ugunsdrošības pasākumus (tai skaitā mineralizēto joslu un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meža ugunsdrošības pasākumus (tai skaitā mineralizēto joslu un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meža ugunsdrošības pasākumus (tai skaitā mineralizēto joslu un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cik ainavu apvidus ir plaša teritorija, ar iekļautām esošām apdzīvotām vietām (Odzienas, Stukmaņu un Īvānu ciemiem),  lūdzu papildināt anotāciju ar sekojošu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 un meža ugunsdrošības nodrošināšana šādā teritorijā ir būtiski svarīga.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Nepieciešamībās gadījumā VMD var sniegt kartogrāfisko materiālu ar attēlotajiem meža infrastruktūras objektiem, kas nepieciešami ugunsapsardzībai.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Ainavu apvidū noteiktie mežsaimnieciskās darbības aizliegumi neattiecas uz īpaši aizsargājamo sugu dzīvotņu un īpaši aizsargājamo biotopu atjaunošanas pasākumiem, kuru veikšanai ir saņemta Dabas aizsardzības pārvaldes rakstveida atļauja. Ja saskaņā ar normatīvajiem aktiem par koku ciršanu Valsts meža dienests izsniedz apliecinājumu, šādos gadījumos Valsts meža dienests apliecinājumu izsniedz pēc Dabas aizsardzības pārvaldes pozitīva rakstveida atzinuma saņemšanas. Dabas aizsardzības pārvalde atzinumu sniedz 10 darbdienu laikā pēc Valsts meža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noteikumu projekta 12.punktu, jo saskaņā ar MK noteikumu "Noteikumi par īpaši aizsargājamo biotopu un īpaši aizsargājamo sugu dzīvotņu atjaunošanu mežā" 11.1. punktu Dabas aizsardzības pārvalde (DAP) ir kompetentā iestāde atļaujas saņemšanai plānotajai darbībai, ar kuru tiks atmežota teritorija, un meža kontrolētas dedzināšanas atļaujas saņemšanai, ja plānotā darbība paredzēta īpaši aizsargājamā dabas teritorijā vai mikroliegumā. Tātad atmežošanas gadījumā DAP atļauja ir neizbēgama un nepieciešams arī Valsts meža dienesta izsniegts apliecinājums koku ciršanai. Attiecīgi veidojas nesaiste ar Noteikumu projekta 12.punktā noteikto par DAP atļauju un pozitīvu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cirst kokus kailcirtē, izņemot mežaudzēs, kurās priedes veido 80 procentu vai mazāk no mežaudzes šķērslaukuma, kailcirtes platībai nepārsniedzot vienu hektāru un ievērojot šo noteikumu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punkta formulējums pasaka, ka kailcirtē nedrīkst cirst priežu audzes, kur priede sastāda vairāk par 80% no šķērslaukuma, savukārt visās pārējās audzēs, izņemot 10.16.punktā minētās, kailcirte ir atļauta. Vienkāršākai punkta uztverei lūdzam punktu arī šādi pārformulēt, izvairoties no izņēmuma palīgteikuma. Savukārt nosacījumus ciršu izpildei atrunāt atsevišķā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20.3.8. veikt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cirtes veidu - "veikt sanitāro cirti pēc Valsts meža dienesta sanitārā atzinuma"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sanitāro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Pamovska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Neitrālā zona izveidota, lai nodrošinātu apdzīvotu teritoriju funkcionēšanu un attīstību, kā arī valsts un pašvaldības ceļu, kā arī dzelzceļa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autoceļiem ir būtiski pieaugoša loma apdzīvoto vietu funkcionēšanas un attīstības nodrošināšanā. Tie pilda tādas pat funkcijas kā pašvaldības autoceļi.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Neitrālā zona izveidota, lai nodrošinātu apdzīvotu teritoriju funkcionēšanu un attīstību, kā arī valsts, pašvaldības un </w:t>
            </w:r>
            <w:r w:rsidR="00000000" w:rsidRPr="00000000" w:rsidDel="00000000">
              <w:rPr>
                <w:u w:val="single"/>
                <w:rtl w:val="0"/>
              </w:rPr>
              <w:t xml:space="preserve">komersantu</w:t>
            </w:r>
            <w:r w:rsidR="00000000" w:rsidRPr="00000000" w:rsidDel="00000000">
              <w:rPr>
                <w:rtl w:val="0"/>
              </w:rPr>
              <w:t xml:space="preserve">  autoceļu </w:t>
            </w:r>
            <w:r w:rsidR="00000000" w:rsidRPr="00000000" w:rsidDel="00000000">
              <w:rPr>
                <w:u w:val="single"/>
                <w:rtl w:val="0"/>
              </w:rPr>
              <w:t xml:space="preserve">atjaunošanu un</w:t>
            </w:r>
            <w:r w:rsidR="00000000" w:rsidRPr="00000000" w:rsidDel="00000000">
              <w:rPr>
                <w:rtl w:val="0"/>
              </w:rPr>
              <w:t xml:space="preserve">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ainavu apvidus teritorijā valsts, pašvaldību ceļi un dzelzceļš to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autoceļiem ir būtiski pieaugoša loma apdzīvoto vietu funkcionēšanas un attīstības nodrošināšanā. Tie pilda tādas pat funkcijas kā pašvaldības autoceļi.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ainavu apvidus teritorijā valsts, pašvaldību, </w:t>
            </w:r>
            <w:r w:rsidR="00000000" w:rsidRPr="00000000" w:rsidDel="00000000">
              <w:rPr>
                <w:u w:val="single"/>
                <w:rtl w:val="0"/>
              </w:rPr>
              <w:t xml:space="preserve">komersantu</w:t>
            </w:r>
            <w:r w:rsidR="00000000" w:rsidRPr="00000000" w:rsidDel="00000000">
              <w:rPr>
                <w:rtl w:val="0"/>
              </w:rPr>
              <w:t xml:space="preserve"> autoceļi un dzelzceļš to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22.01.2024.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22.01.2024.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