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un Vides aizsardzības un reģionālās attīstības ministriju par atbildīgajām institūcijām plāna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kompetenci nosaka likumi un Ministru kabineta noteikumi, un ministrija savas kompetences ietvaros darbojas patstāvīgi. Ievērojot minēto, Vides aizsardzības un reģionālās attīstības ministrija nevar vispārīgi un koleģiāli, proti, kopā ar Satiksmes ministriju, atbildēt par šī plāna ieviešanu kopumā. Ievērojot minēto, Vides aizsardzības un reģionālās attīstības ministrijas pienākumi atbilstoši tās kompetencei ir nosakāmi precīzi, ja tādi ir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plānu ar informāciju par veicamajām aktivitātēm saskaņā ar Preču un pakalpojumu piekļūstamības likuma prasībām (piemēram, interaktīvo pašapkalpošanās termināļu piekļūstamības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21.00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21.00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