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(viedoklu_parskats_23-TA-1472)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 (Delna) aicina Tieslietu ministriju skaidrot pilsoniskās sabiedrības organizācijām Interešu pārstāvības atklātības likuma (Likums) ar to saistīto Ministru kabineta noteikumu mērķi un tvērumu. Delna ir novērojusi, ka pilsoniskās sabiedrības organizācijām nav skaidrības par to, kāda informācija būs jāreģistrē un kā tas notiks praksē. Skaidrojošo darbu atvieglotu tas, ja būtu izveidots reģistrācijas formas paraugs juridiskām un fiziskām personām un norādīts, kurā laukā kāda informācija būs jānorāda un kāpēc, un no kura brīža ir jāreģistrējas interešu pārstāvības reģistrā. Papildu būtu nepieciešams arī skaidrot aktivitātes, kas kvalificējas kā interešu pārstāvība Likuma izpratnē, un norādīt kā tās atšķirt no sabiedriskās līdzdalības, kas tiek regulēta ar citiem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Birule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30.04.2024. 23.07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30.04.2024. 23.07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