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konkrētais </w:t>
            </w:r>
            <w:r w:rsidR="00000000" w:rsidRPr="00000000" w:rsidDel="00000000">
              <w:rPr>
                <w:i w:val="1"/>
                <w:rtl w:val="0"/>
              </w:rPr>
              <w:t xml:space="preserve">software as service</w:t>
            </w:r>
            <w:r w:rsidR="00000000" w:rsidRPr="00000000" w:rsidDel="00000000">
              <w:rPr>
                <w:rtl w:val="0"/>
              </w:rPr>
              <w:t xml:space="preserve"> (kas ietver arī MI izmantošanu) risinājums  valsts pārvaldē ir jauninājums, kura ietvaros tiks apstrādāts liels daudzums personas datu un pamatojoties uz Fizisko personu datu apstrādes likuma ceturtā panta 5.punktu ieteicams saņemt DVI atzinumu par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Vērdiņš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