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pret šādu punkta redakciju, kas paredz, ka par kiberdrošības pārvaldnieku var būt fiziska persona ar nenosakāmā laika periodā identificējamu pieredzi kiberdrošības pasākumu plānošanā vai īstenošanā. Attiecīgi, nevar pieļaut situāciju, kad ir pietiekama pieredze vienkārši divu gadu periodā (piemēram, arī pirms 10 gadiem), bet nesasaistot to ar personas aktuālajām prasmēm tieši pirms kļūšanas par kiberdrošības pārvaldieku konkrētā organizācijā. Šādu personu profesionālā pieredze tieši aktuālajā brīdī (nevis kādā senākā periodā) ir kritiski svarīga, ņemot vērā arī tieši ļoti straujo tehnoloģiju attīstību un izaicinājumu rašanos šajā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w:t>
            </w:r>
            <w:r w:rsidR="00000000" w:rsidRPr="00000000" w:rsidDel="00000000">
              <w:rPr>
                <w:u w:val="single"/>
                <w:rtl w:val="0"/>
              </w:rPr>
              <w:t xml:space="preserve">(bez pārtraukuma)</w:t>
            </w:r>
            <w:r w:rsidR="00000000" w:rsidRPr="00000000" w:rsidDel="00000000">
              <w:rPr>
                <w:rtl w:val="0"/>
              </w:rPr>
              <w:t xml:space="preserve"> darba pieredze kiberdrošības pasākumu plānošanā vai īstenošanā </w:t>
            </w:r>
            <w:r w:rsidR="00000000" w:rsidRPr="00000000" w:rsidDel="00000000">
              <w:rPr>
                <w:u w:val="single"/>
                <w:rtl w:val="0"/>
              </w:rPr>
              <w:t xml:space="preserve">triju gadu periodā pirms kiberdrošības pārvaldnieka pienākumu izpildes uzsākšanas saskaņā ar Nacionālā kiberdrošības likuma 25.pantā un šo noteikumu 7.pantā noteikto.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 iekšējos bezvadu tīklos tiek izmanoti bezvadu drošības protokoli un datu pārraides drošības protokoli.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precizējums/pārrakstīšanās kļūda.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iekšējos bezvadu tīklos tiek </w:t>
            </w:r>
            <w:r w:rsidR="00000000" w:rsidRPr="00000000" w:rsidDel="00000000">
              <w:rPr>
                <w:u w:val="single"/>
                <w:rtl w:val="0"/>
              </w:rPr>
              <w:t xml:space="preserve">izmantoti </w:t>
            </w:r>
            <w:r w:rsidR="00000000" w:rsidRPr="00000000" w:rsidDel="00000000">
              <w:rPr>
                <w:rtl w:val="0"/>
              </w:rPr>
              <w:t xml:space="preserve">bezvadu drošības protokoli un datu pārraides drošības protokoli.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Būtisko pakalpojumu sniedzējs ņem vērā Nacionālā kiberdrošības centra sadarbība ar Satversmes aizsardzības biroju izstrādātās vadlīnijas šifrēšanas risinājumu izmantošanai. Vadlīnijas Nacionālais kiberdrošības centrs publicē savā mājaslapā internetā, vismaz reizi gadā tās pārskata un nepieciešamības gadījumā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precizējums/pārrakstīšanās kļūda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Būtisko pakalpojumu sniedzējs ņem vērā Nacionālā kiberdrošības centra </w:t>
            </w:r>
            <w:r w:rsidR="00000000" w:rsidRPr="00000000" w:rsidDel="00000000">
              <w:rPr>
                <w:u w:val="single"/>
                <w:rtl w:val="0"/>
              </w:rPr>
              <w:t xml:space="preserve">sadarbībā </w:t>
            </w:r>
            <w:r w:rsidR="00000000" w:rsidRPr="00000000" w:rsidDel="00000000">
              <w:rPr>
                <w:rtl w:val="0"/>
              </w:rPr>
              <w:t xml:space="preserve">ar Satversmes aizsardzības biroju izstrādātās vadlīnijas šifrēšanas risinājumu izmantošanai. Vadlīnijas Nacionālais kiberdrošības centrs publicē savā mājaslapā internetā, vismaz reizi gadā tās pārskata un nepieciešamības gadījumā aktualizē.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skaidrojošu informāciju par MK noteikumos noteikto minimālo mantisko zaudējumu slieksni: vismaz 500 000 euro vai 5% apmērā no subjekta pēdējā finanšu gada apgrozījuma, pie kura kiberincidents uzskatāms par nozīmīgu.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precizēt/aprakstīt anotācijā, kādi dati ir tikuši ņemti vērā nosakot šo slieksni šādā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skaidrojošu informāciju attiecībā uz MK noteikumu projekta punkta 8.2. sadaļu - Ielaušanās testi un tajā izvirzītajām prasībām testu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nav ietverta pietiekama informācija par šī punkta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šādas sadaļas anotācijā - Anotācijas 25.lpp. kļūdaini palicis teksts no iepriekšējās Noteikumu projekta redakcijas, jaunajā vairs nav šādu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sadaļu: Noteikumu projekts paredz, ka atkarībā no nozīmīgā kiberincidenta veida, tā intensitātes un ietekmes, Nacionālais kiberdrošības centrs vai Satversmes aizsardzības birojs var izsludināt kiberdrošības krīzi, lai nodrošinātu ar nozīmīgā kiberincidenta risināšanu un tā seku likvidēšanu saistīto pasākumu īstenošanu saskaņā ar Nacionālo kiberincidentu krīzes vadības plānu.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šādas sadaļas anotācijā - anotācijas 19.lpp. kļūdaini palicis teksts no iepriekšējās Noteikumu projekta redakcijas, jaunajā vairs nav šādu prasību - sadaļā "Prasības IKT infrastruktūrai, kura pilda datu centra funkcijas" - (4) punkts - lūgums dzēst teikuma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telpas ir nodrošinātas ar atbilstošiem klimata uzraudzības un kontroles mehānismiem,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01.10.2024. 08.35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01.10.2024. 08.35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