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grozījumu 1. pantā skaitīt atbildes sniegšanas termiņu no dienas, kad pārsūtīto iesniegumu saņēma iestāde, kuras kompetencē ir izskatāmais jautājums un ir saņemts iestādes paziņojums par iesnieguma saņemšanu. Tāpat gadījumos, kad iesniegums tiek pārsūtīts vairākkārt, var rasties situācijas, kad nebūs iespējams ievērot likumā noteikto atbildes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vērtēt, vai termiņa samazināšana pēc būtības mazina birokrātiju, jo privātpersonām daudzās jomās būtiska ir procedūru vienkāršība, nevis izskatīšanas termiņš, kas būtu jārisina citos atbilstošos tiesiskos regulējumos nevis Iesnieguma likumā. Jāatzīmē arī, ka piedāvātā grozījumu redakcija valsts iestāžu pusē var radīt papildu administratīvo slogu, kam būs nepieciešami papildu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kāpēc piedāvātajā redakcijā no Iesnieguma likuma ir izslēgta iespēja vērtēt apstākļus, kas, vadoties no iesnieguma mērķa un satura, ļauj informēt iesnieguma iesniedzēju par to, ka jautājums nav iestādes kompetencē, nepārsūtot to citai iestādei. Iespējamas situācijas, kad iesniegums satur sensitīvus datus vai informāciju, un šādos gadījumos iesnieguma pārsūtīšana var nodarīt kaitējumu iesnieguma rakstītājam.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29.05.2024.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29.05.2024.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