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nodrošina šo noteikumu 33.2. apakšpunktā minētās informācijas iekļaušanu veselības informācijas sistēmā par pacienta pilnvaroto personu vai šīs informācijas dzēšanu triju darbdienu laikā pēc šo noteikumu 33.2 un 33.3. apakšpunktā minētā iesnieguma vai pilnvaras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2016/679 par fizisku personu aizsardzību attiecībā uz personas datu apstrādi un šādu datu brīvu apriti un ar ko atceļ Direktīvu 95/46/EK (Vispārīgā datu aizsardzības regula) (turpmāk – Datu regula) 5.panta 1.punkta "e" apakšpunktā ietvertajam glabāšanas ierobežojuma principam, personas datus glabā tikai tik ilgi, kamēr tie ir nepieciešami nolūkiem, kuros to apstrādā.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noteiktos gadījumos konkrētas informācijas dzēšanu triju darbdienu laikā. Vēršam uzmanību, ka anotācijā nav sniegts skaidrojums uzglabāt informāciju, tajā skaitā personas datus, trīs dienas, kad jau ir zudis nolūks to glabāšanai. Ņemot vērā minēto, lūdzam attiecīgi precizēt anotāciju, paskaidrojot trīs dienu termiņu informācijas dzēšanai, piemēram, kādēļ informāciju nav iespējams dzēst nekavējoties, kā ir zudis tās glabāšanas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nodrošina šo noteikumu 33.2. apakšpunktā minētās informācijas iekļaušanu veselības informācijas sistēmā par pacienta pilnvaroto personu vai šīs informācijas dzēšanu triju darbdienu laikā pēc šo noteikumu 33.2 un 33.3. apakšpunktā minētā iesnieguma vai pilnvaras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4. Ja 3.</w:t>
            </w:r>
            <w:r w:rsidR="00000000" w:rsidRPr="00000000" w:rsidDel="00000000">
              <w:rPr>
                <w:vertAlign w:val="superscript"/>
                <w:rtl w:val="0"/>
              </w:rPr>
              <w:t xml:space="preserve">2</w:t>
            </w:r>
            <w:r w:rsidR="00000000" w:rsidRPr="00000000" w:rsidDel="00000000">
              <w:rPr>
                <w:rtl w:val="0"/>
              </w:rPr>
              <w:t xml:space="preserve">.punktā minētās iestādes konstatē, ka pielīdzināšana nav iespējama, tās par to informē Nacionālo veselības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norādot konkrētus apakšpunktus (3.</w:t>
            </w:r>
            <w:r w:rsidR="00000000" w:rsidRPr="00000000" w:rsidDel="00000000">
              <w:rPr>
                <w:vertAlign w:val="superscript"/>
                <w:rtl w:val="0"/>
              </w:rPr>
              <w:t xml:space="preserve">2</w:t>
            </w:r>
            <w:r w:rsidR="00000000" w:rsidRPr="00000000" w:rsidDel="00000000">
              <w:rPr>
                <w:rtl w:val="0"/>
              </w:rPr>
              <w:t xml:space="preserve">1., 3.</w:t>
            </w:r>
            <w:r w:rsidR="00000000" w:rsidRPr="00000000" w:rsidDel="00000000">
              <w:rPr>
                <w:vertAlign w:val="superscript"/>
                <w:rtl w:val="0"/>
              </w:rPr>
              <w:t xml:space="preserve">2</w:t>
            </w:r>
            <w:r w:rsidR="00000000" w:rsidRPr="00000000" w:rsidDel="00000000">
              <w:rPr>
                <w:rtl w:val="0"/>
              </w:rPr>
              <w:t xml:space="preserve">2. un 3.</w:t>
            </w:r>
            <w:r w:rsidR="00000000" w:rsidRPr="00000000" w:rsidDel="00000000">
              <w:rPr>
                <w:vertAlign w:val="superscript"/>
                <w:rtl w:val="0"/>
              </w:rPr>
              <w:t xml:space="preserve">2</w:t>
            </w:r>
            <w:r w:rsidR="00000000" w:rsidRPr="00000000" w:rsidDel="00000000">
              <w:rPr>
                <w:rtl w:val="0"/>
              </w:rPr>
              <w:t xml:space="preserve">3.), kuros minētas attiecīgās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