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pamatojums Iekšlietu ministrijas izteiktā iebilduma neņemšanai vērā ir norādīts sekojošais: “Valsts vides dienests plāno izmantot savu iekšējo datubāzi par piemērotajiem administratīvajiem sodiem. Ņemot vērā, ka Valsts vides dienests nevar nodrošināt komersanta nepārtrauktu uzraudzību, tad kontroles tiek veiktas uz sūdzību pamata vai iepriekš sastādīta kontroles plāna, pamatā plānojot ne vairāk kā vienu pārbaudi gadā.” Aicinām papildināt projekta sākotnējās ietekmes novērtējuma ziņojumu, norādot, ka informācija  par likumprojekta 21.panta trešās daļas 2. un 3.punktā noteiktajiem administratīvajiem sodiem tiks iegūta no Valsts vides dienesta iekšējās datubāzes par piemērotajiem administratīvajiem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