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Studiju un studējošo kreditēšanas sistēmas, kas ir garantēta no valsts budžeta līdzekļiem, darbības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studiju un studējošo kreditēšanas sistēmas attīstībai ir skatāms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sēdes protokollēmuma projekta 3.punktu saskaņot ar informatīvā ziņojuma turpmākās rīcības 3.punktu, jo tur ir runa arī par nepieciešamo finansējumu  EURIBOR likmju pieauguma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05.07.2023.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05.07.2023.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Atzinumi_22-TA-2305.docx</dc:title>
</cp:coreProperties>
</file>

<file path=docProps/custom.xml><?xml version="1.0" encoding="utf-8"?>
<Properties xmlns="http://schemas.openxmlformats.org/officeDocument/2006/custom-properties" xmlns:vt="http://schemas.openxmlformats.org/officeDocument/2006/docPropsVTypes"/>
</file>