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kandidatūrām dalībai Eiropas Ekonomikas un sociālo lietu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 sadaļu, kur norādīts: "Jā" tiesību akta projekts ietekmē spēkā esošo tiesību normu sistēmu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norāde ir kļūdaina, norādīt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norāde ir korekta, lūdzam papildus sniegt skaidrojumus par to, kāda ir šī ietekme, tādā veidā tiesību normu adresātiem nodrošinot pilnīgu izpratni par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izvērtēt projekta atbilstību Eiropas Savienības tiesību aktiem un to pilnībā atspoguļot, sniedzot tiesību normu adresātiem pilnīgu izpratni par projekta atbilstību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skaidrojumiem anotācijas 1.3. apakšsadaļā, projekts saistīts ne tikai ar Līguma par Eiropas Savienības darbību 300. pantu, bet arī, piemēram, 302. pantu: "</w:t>
            </w:r>
            <w:r w:rsidR="00000000" w:rsidRPr="00000000" w:rsidDel="00000000">
              <w:rPr>
                <w:i w:val="1"/>
                <w:rtl w:val="0"/>
              </w:rPr>
              <w:t xml:space="preserve">Saskaņā ar LESD 302. panta 1. punktu EESLK locekļus ieceļ uz pieciem gadiem</w:t>
            </w:r>
            <w:r w:rsidR="00000000" w:rsidRPr="00000000" w:rsidDel="00000000">
              <w:rPr>
                <w:rtl w:val="0"/>
              </w:rPr>
              <w:t xml:space="preserve">". Tāpat, anotācijas 5.4. apakšsadaļas 1. tabulā tiek norādīts uz "</w:t>
            </w:r>
            <w:r w:rsidR="00000000" w:rsidRPr="00000000" w:rsidDel="00000000">
              <w:rPr>
                <w:u w:val="single"/>
                <w:rtl w:val="0"/>
              </w:rPr>
              <w:t xml:space="preserve">Līguma par Eiropas Savienību</w:t>
            </w:r>
            <w:r w:rsidR="00000000" w:rsidRPr="00000000" w:rsidDel="00000000">
              <w:rPr>
                <w:rtl w:val="0"/>
              </w:rPr>
              <w:t xml:space="preserve"> un Līgums par Eiropas Savienības darbību", lai gan tabulā ietverta norāde tikai uz Līguma par Eiropas Savienības darbību 300. pantu. Gadījumā, ja projekts ievieš arī Līgumu par Eiropas Savienību, lūdzam norādīt, kā tieši tas 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anotācijas 5.3. apakšsadaļā, kā citu informāciju, kas saistīta ar Latvijas Republikas starptautiskajām saistībām, iesakām skaidrot arī Eiropas Savienības Padomes Ģenerālsekretariāta 2024. gada 13. novembra paziņojumu Nr. 14673/24 par Eiropas Ekonomikas un sociālo lietu komitejas 2025.–2030. gada atjaunošanas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2026. gada 31. decembrim sagatavot grozījumus Ministru kabineta 2020. gada 19. maija noteikumos Nr. 302 "Kārtība, kādā atlasa Latvijas pārstāvjus dalībai Eiropas Ekonomikas un sociālo lietu komitejā", paredzot, ka kandidātu atlases procesu organizē Valsts kanceleja, pārskatot pretendentu vērtēšanas kritērijus un veicot citas nepieciešamās izmaiņas, lai nodrošinātu kvalitatīvu Latvijas interešu pārstāvniecību Eiropas Ekonomikas un sociālo lietu komitejā.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Ministru kabineta sēdes protokollēmuma projekta 3. punkta redakciju, ņemot vērā, ka Ministru kabineta 2020. gada 19. maija noteikumi Nr. 302 "Kārtība, kādā atlasa Latvijas pārstāvjus dalībai Eiropas Ekonomikas un sociālo lietu komitejā" nosaka kārtību, kādā izvirza, atlasa, vērtē un apstiprina Latvijas pārstāvjus dalībai Eiropas Ekonomikas un sociālo lietu komitejas grupās, nevis Latvijas interešu pārstāvniecības procesu kā tādu vai to, kā tas nodrošināms kvalitatīvi. Proti, lūdzam Valsts kancelejai uzdoto uzdevumu formulēt korekti un nepārprotami, kā arī nodrošināt ar to saistīto praktisko aspektu pilnīgu atspoguļojumu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25-TA-890</w:t>
    </w:r>
    <w:r>
      <w:br/>
    </w:r>
    <w:r w:rsidR="00000000" w:rsidRPr="00000000" w:rsidDel="00000000">
      <w:rPr>
        <w:rtl w:val="0"/>
      </w:rPr>
      <w:t xml:space="preserve">Izdrukāts 14.04.2025.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25-TA-890</w:t>
    </w:r>
    <w:r>
      <w:br/>
    </w:r>
    <w:r w:rsidR="00000000" w:rsidRPr="00000000" w:rsidDel="00000000">
      <w:rPr>
        <w:rtl w:val="0"/>
      </w:rPr>
      <w:t xml:space="preserve">Izdrukāts 14.04.2025.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Atzinumi_25-TA-890.docx</dc:title>
</cp:coreProperties>
</file>

<file path=docProps/custom.xml><?xml version="1.0" encoding="utf-8"?>
<Properties xmlns="http://schemas.openxmlformats.org/officeDocument/2006/custom-properties" xmlns:vt="http://schemas.openxmlformats.org/officeDocument/2006/docPropsVTypes"/>
</file>