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1.2.1. specifiskā atbalsta mērķa “Pētniecības un inovāciju kapacitātes stiprināšana un progresīvu tehnoloģiju ieviešana uzņēmumiem” 1.2.1.4. pasākuma “Atbalsts tehnoloģiju pārneses sistēmas pilnveidošanai”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mērķis ir nodrošināt finansējuma pieejamību komersantiem jaunu produktu/pakalpojumu, pētniecības projektu izstrādei un komercializācijai, lai veicinātu inovatīvo komersantu īpatsvaru ekonomikā paaugstināšanu, veidojot saikni starp šo noteikumu </w:t>
            </w:r>
            <w:r w:rsidR="00000000" w:rsidRPr="00000000" w:rsidDel="00000000">
              <w:rPr>
                <w:rtl w:val="0"/>
              </w:rPr>
              <w:t xml:space="preserve">2.2.</w:t>
            </w:r>
            <w:r w:rsidR="00000000" w:rsidRPr="00000000" w:rsidDel="00000000">
              <w:rPr>
                <w:rtl w:val="0"/>
              </w:rPr>
              <w:t xml:space="preserve"> apakšpunktā minētajiem gala labuma guvējiem un publiskajām pētniecības institūcijām, kas sekmētu zināšanu tiešu pārnesi un kļūtu par katalizatoru ilgtermiņa, padziļinātākas sadarbības veidošanai starp abām pusēm, tādējādi sniedzot ieguldījumu Latvijas Viedās specializācijas (turpmāk - RIS3) stratēģijas mērķu sasniegšanā.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pasākuma mērķi ar Latvijas tēla veidošanas inovāciju jomā aspektu (22.11.apakšpunkts) un atbalstu jaunuzņēmumiem augsti kvalificētu darbinieku piesaistei (22.12.apakšpunkts).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Finansējuma saņēmējs šo noteikumu </w:t>
            </w:r>
            <w:r w:rsidR="00000000" w:rsidRPr="00000000" w:rsidDel="00000000">
              <w:rPr>
                <w:rtl w:val="0"/>
              </w:rPr>
              <w:t xml:space="preserve">14.</w:t>
            </w:r>
            <w:r w:rsidR="00000000" w:rsidRPr="00000000" w:rsidDel="00000000">
              <w:rPr>
                <w:rtl w:val="0"/>
              </w:rPr>
              <w:t xml:space="preserve"> punktā minēto informāciju iesniedz kopā ar maksājuma pieprasījumu vai 10 darba dienu laikā pēc Atbildīgās iestādes pieprasījuma.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EM šajā punktā integrēt 39.4.apakšpunkta prasības, kas arī ir attiecināmas uz 14.punktā uzkrājamo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šo noteikumu 14. punktā minēto informāciju, papildus norādot gala labuma guvēja reģistrācijas numuru, iesniedz kopā ar maksājuma pieprasījumu vai 10 darba dienu laikā pēc Atbildīgās iestādes pieprasījuma.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Finansējuma saņēmējs šo noteikumu </w:t>
            </w:r>
            <w:r w:rsidR="00000000" w:rsidRPr="00000000" w:rsidDel="00000000">
              <w:rPr>
                <w:rtl w:val="0"/>
              </w:rPr>
              <w:t xml:space="preserve">14.</w:t>
            </w:r>
            <w:r w:rsidR="00000000" w:rsidRPr="00000000" w:rsidDel="00000000">
              <w:rPr>
                <w:rtl w:val="0"/>
              </w:rPr>
              <w:t xml:space="preserve"> punktā minēto informāciju iesniedz kopā ar maksājuma pieprasījumu vai 10 darba dienu laikā pēc Atbildīgās iestādes pieprasījuma.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15. punktu norādot, kam finansējuma saņēmējs iesniedz 14. punktā minēto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Projekta iesniedzējs izstrādā izmaksu un ieguvumu analīzi un iesniedz to kā stratēģijas, kas minēta šo noteikumu </w:t>
            </w:r>
            <w:r w:rsidR="00000000" w:rsidRPr="00000000" w:rsidDel="00000000">
              <w:rPr>
                <w:rtl w:val="0"/>
              </w:rPr>
              <w:t xml:space="preserve">18.</w:t>
            </w:r>
            <w:r w:rsidR="00000000" w:rsidRPr="00000000" w:rsidDel="00000000">
              <w:rPr>
                <w:rtl w:val="0"/>
              </w:rPr>
              <w:t xml:space="preserve"> punktā, 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iesniedzējs iesniedz iesniegumu (un stratēģiju tikai pievieno pielikumā), lūdzam redakcionāli precizēt noteikumu projekta 21.punktu, nosakot, ka izmaksu un ieguvumu analīzi iesniedz kā projekta iesnieguma pielikumu (nevis stratēģijas pielikumu), lai tajā gadījumā, kad CFLA ir konstatējusi nepieciešamību precizēt izmaksu un ieguvumu analīzi, tā nebūtu atkārtoti jāsaskaņo Inovāciju padomē. Vienlaikus vēršam uzmanību, ka, pastāvot pienākumam izstrādāt izmaksu un ieguvumu analīzi, atlases nolikumā tiks iekļauts vienotais izvēles kritērijs izmaksu un ieguvumu analīzes izvērtēšanai (skatīt vadošās iestādes izstrādātās atlases metodikas 5. pielikumā ietverto kritēriju Nr. 5), neskatoties uz to, ka brīdī, kad kritēriju kopa tika skatīta apakškomitejā, šis kritērijs nebija iekļauts kritēriju piemērošanas metodikā.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Finansējuma saņēmējs pēc atbildīgās iestādes pieprasījuma 10 darbdienu laikā iesniedz atbildīgajai iestādei informāciju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EM šo punktu, 14.punktu 15.punktu, kas visi nosaka prasības FS gan uzkrāt papildus informāciju, gan par to informēt AI MKN projektā izvietot secīgi vienu aiz otra vai visus iekļaut VI sadaļā "Projekta īstenošanas un finansējuma saņemšanas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Vēršam uzmanību, ka MKN projekta 34.3.apakšpunkts, 34.4.apakšpunkts 34.6.apakšpukti iespējami dublē RIS3 rādītāju ietvaros uzkrājamo informāciju. Aicinām EM svītrot no šī punkta dublējošās info,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34.9. šo noteikumu </w:t>
            </w:r>
            <w:r w:rsidR="00000000" w:rsidRPr="00000000" w:rsidDel="00000000">
              <w:rPr>
                <w:rtl w:val="0"/>
              </w:rPr>
              <w:t xml:space="preserve">14.</w:t>
            </w:r>
            <w:r w:rsidR="00000000" w:rsidRPr="00000000" w:rsidDel="00000000">
              <w:rPr>
                <w:rtl w:val="0"/>
              </w:rPr>
              <w:t xml:space="preserve"> punktā minētajiem rādītājiem, papildus norādot gala labuma guvēja reģistrācijas numuru.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EM šo apakšpunktu svītrot un integrēt to MKN projekta 15.punktā.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Finansējuma saņēmējs pie maksājuma pieprasījuma iesniegšanas KPVIS, iesniedz šo noteikumu </w:t>
            </w:r>
            <w:r w:rsidR="00000000" w:rsidRPr="00000000" w:rsidDel="00000000">
              <w:rPr>
                <w:rtl w:val="0"/>
              </w:rPr>
              <w:t xml:space="preserve">34.9.</w:t>
            </w:r>
            <w:r w:rsidR="00000000" w:rsidRPr="00000000" w:rsidDel="00000000">
              <w:rPr>
                <w:rtl w:val="0"/>
              </w:rPr>
              <w:t xml:space="preserve"> apakšpunktā minēto informāciju.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punkts dublē 15.punktu, tāpēc aicinām to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Atbalsts komersantam inovāciju vaučera projektam (izņemot komersantu, kuram finansējumu piešķir saskaņā ar normatīvajiem aktiem jaunuzņēmumu darbības atbalsta jomā) šo noteikumu </w:t>
            </w:r>
            <w:r w:rsidR="00000000" w:rsidRPr="00000000" w:rsidDel="00000000">
              <w:rPr>
                <w:rtl w:val="0"/>
              </w:rPr>
              <w:t xml:space="preserve">37.7.</w:t>
            </w:r>
            <w:r w:rsidR="00000000" w:rsidRPr="00000000" w:rsidDel="00000000">
              <w:rPr>
                <w:rtl w:val="0"/>
              </w:rPr>
              <w:t xml:space="preserve"> apakšpunktā minētajai darbībai ir attiecināms, ievērojot šādas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EM skaidrot, vai šī punkta redakcija attiecas tikai uz dizaina vaučeru (37.8.apakšpunkts). Ja jā, tad lūdzam atbilstoši precizēt, jo rūpniecisko īpašumtiesību nostiprināšanu (37.5.apakšpunkts) var veikt tikai šo MKN 43.punktā noteiktās personas un jauna produkta vai tehnoloģijas sertificēšanas un testēšanas pakalpojumus (37.6.apakšpunkts) var veikt tikai šo MKN 44.punktā minētās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Šajos noteikumos minētās izmaksas finansējuma saņēmējam ir attiecināmas no noteikumu spēkā stāšanās brīža. Šajos noteikumos minētās izmaksas gala labuma guvējiem ir attiecināmas no lēmuma par atbalsta piešķiršanu gala labuma guvējam dienas, ja atbalstu piešķir saskaņā ar Komisijas regulu Nr. 1407/2013 vai no dienas, kad gala labuma guvējs ir iesniedzis finansējuma saņēmējam iesniegumu par projekta īstenošanu, ja atbalstu piešķir saskaņā ar Regulu Nr. 651/2014.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MKN projekta 64.punktu, ietverot tajā darba sākuma nosacījumu attiecībā uz atbalstu, kas tiek piešķirts saskaņā ar Komisijas regulu Nr.651/2014. Attiecīgi aicinām izteikt MKN projekta 64.punktu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Šajos noteikumos minētās izmaksas finansējuma saņēmējam ir attiecināmas no noteikumu spēkā stāšanās brīža. Šajos noteikumos minētās izmaksas gala labuma guvējiem ir attiecināmas no lēmuma par atbalsta piešķiršanu gala labuma guvējam dienas, ja atbalstu piešķir saskaņā ar Komisijas regulu Nr.1407/2013.  Savukārt, ja atbalstu piešķir saskaņā ar Regulu Nr.651/2014, šajos noteikumos minētās izmaksas gala labuma guvējiem ir attiecināmas  no dienas, kad gala labuma guvējs ir iesniedzis finansējuma saņēmējam iesniegumu par projekta īstenošanu, ievērojot to, ka darbus var uzsākt pēc šajos noteikumos minētā projekta iesnieguma iesniegšanas atbilstoši Regulas Nr.651/2014 6.pantā noteiktajam. Gadījumā, ja darbi pie projekta sākti pirms tā iesniegšanas, viss projekts nav attiecināms. Darbu sākums ir brīdis, kas atbilst Regulas Nr.651/2014 2.panta 23.punktam.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Finansējuma saņēmējs projekta īstenošanas laikā nodrošina interešu konflikta neesamību saskaņā ar Eiropas Parlamenta un Padomes 2018. gada 18. jūlija regulas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Regula Nr. 2018/1046) 61. panta prasībām un paraksta šo noteikumu 1. pielikumā ietverto apliecinājumu par interešu konflikta neesamību.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arī publisko iepirkumu veikšanu, lūdzam papildināt noteikumu projekta 73. punktu aiz skaitļa un vārdiem "61. panta prasībām" ar vārdiem "un normatīvajiem aktiem publisko iepirkumu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Vērtēšanas komisiju locekļi, eksperti, novērotāji un finansējuma saņēmēja darbinieki, kas iesaistīti gala labuma guvēju pieteikumu vērtēšanas procesā, paraksta šo noteikumu </w:t>
            </w:r>
            <w:r w:rsidR="00000000" w:rsidRPr="00000000" w:rsidDel="00000000">
              <w:rPr>
                <w:rtl w:val="0"/>
              </w:rPr>
              <w:t xml:space="preserve">1.</w:t>
            </w:r>
            <w:r w:rsidR="00000000" w:rsidRPr="00000000" w:rsidDel="00000000">
              <w:rPr>
                <w:rtl w:val="0"/>
              </w:rPr>
              <w:t xml:space="preserve"> pielikumā esošo objektivitātes, konfidencialitātes un interešu konflikta neesības apliecinājumu, ka nepiedalīsies gala labuma guvēju pieteikumu izvērtēšanā interešu konflikta situācijā un vērtēšanas komisijas sēdēs, kurās tiks apstiprināti gala labuma guvēju pieteikumi. Apliecinājumu paraksta pirms gala labuma guvēja pieteikumu izskatīšanas un vērtēšanas. Apliecinājumu finansējuma saņēmējs glabā atbilstoši Regulas Nr. 2018/1046 132. pantam un šo noteikumu </w:t>
            </w:r>
            <w:r w:rsidR="00000000" w:rsidRPr="00000000" w:rsidDel="00000000">
              <w:rPr>
                <w:rtl w:val="0"/>
              </w:rPr>
              <w:t xml:space="preserve">88.</w:t>
            </w:r>
            <w:r w:rsidR="00000000" w:rsidRPr="00000000" w:rsidDel="00000000">
              <w:rPr>
                <w:rtl w:val="0"/>
              </w:rPr>
              <w:t xml:space="preserve">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Nolūkā nodrošināt, ka 74. punktā ietvertā prasība parakstīt noteikumu projekta 1. pielikumā pievienoto apliecinājumu attiecas uz gala labuma guvēju atlases procesā iesaistītajām personām, nevis sadarbības iestādes veikto atlases procesu, lūdzam 74. punkta pirmo teikumu izteikt piedāvātajā redakcijā un svītrot teikuma beigu daļu "</w:t>
            </w:r>
            <w:r w:rsidR="00000000" w:rsidRPr="00000000" w:rsidDel="00000000">
              <w:rPr>
                <w:i w:val="1"/>
                <w:rtl w:val="0"/>
              </w:rPr>
              <w:t xml:space="preserve">un vērtēšanas komisijas sēdēs, kurās tiks apstiprināti gala labuma guvēju pieteikumi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Gala labuma guvēju pieteikumu izvērtēšanas procesā iesaistītie vērtēšanas komisiju locekļi, eksperti, novērotāji un finansējuma saņēmēja darbinieki paraksta šo noteikumu 1. pielikumā esošo objektivitātes, konfidencialitātes un interešu konflikta neesības apliecinājumu, ka nepiedalīsies gala labuma guvēju pieteikumu izvērtēšanā interešu konflikta situācijā. Apliecinājumu paraksta pirms gala labuma guvēja pieteikumu izskatīšanas un vērtēšanas. Apliecinājumu finansējuma saņēmējs glabā atbilstoši Regulas 2018/1046 132. pantam un šo noteikumu 88.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75.10. ziņošanas mehānismu kompetentajām iestādēm par potenciālu administratīvu vai kriminālatbildību.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apakšpunktu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75.10. ziņošanas mehānismu kompetentajām iestādēm par potenciāliem administratīviem vai kriminālpārkāpumiem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94.2. šo noteikumu </w:t>
            </w:r>
            <w:r w:rsidR="00000000" w:rsidRPr="00000000" w:rsidDel="00000000">
              <w:rPr>
                <w:rtl w:val="0"/>
              </w:rPr>
              <w:t xml:space="preserve">37.3.</w:t>
            </w:r>
            <w:r w:rsidR="00000000" w:rsidRPr="00000000" w:rsidDel="00000000">
              <w:rPr>
                <w:rtl w:val="0"/>
              </w:rPr>
              <w:t xml:space="preserve"> un </w:t>
            </w:r>
            <w:r w:rsidR="00000000" w:rsidRPr="00000000" w:rsidDel="00000000">
              <w:rPr>
                <w:rtl w:val="0"/>
              </w:rPr>
              <w:t xml:space="preserve">58.1.</w:t>
            </w:r>
            <w:r w:rsidR="00000000" w:rsidRPr="00000000" w:rsidDel="00000000">
              <w:rPr>
                <w:rtl w:val="0"/>
              </w:rPr>
              <w:t xml:space="preserve"> apakšpunktā minētajai darbībai sīkajiem (mikro) un mazajiem komersantiem ir 45 %, vidējiem komersantiem – 35 %, lielajiem komersantiem - 25 %;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MKN 37.3. apakšpunkts uz lielajiem komersantiem nav attiecināms, jo tas ir vaučeru atbalsts. Aicinām precizēt MKN redakciju, lai neradītu liekas interpretācijas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Maksimālā atbalsta intensitāte atbilstoši Regulas Nr. 651/2014 28. panta 3. punktam šo noteikumu </w:t>
            </w:r>
            <w:r w:rsidR="00000000" w:rsidRPr="00000000" w:rsidDel="00000000">
              <w:rPr>
                <w:rtl w:val="0"/>
              </w:rPr>
              <w:t xml:space="preserve">37.5.</w:t>
            </w:r>
            <w:r w:rsidR="00000000" w:rsidRPr="00000000" w:rsidDel="00000000">
              <w:rPr>
                <w:rtl w:val="0"/>
              </w:rPr>
              <w:t xml:space="preserve"> un </w:t>
            </w:r>
            <w:r w:rsidR="00000000" w:rsidRPr="00000000" w:rsidDel="00000000">
              <w:rPr>
                <w:rtl w:val="0"/>
              </w:rPr>
              <w:t xml:space="preserve">58.2.</w:t>
            </w:r>
            <w:r w:rsidR="00000000" w:rsidRPr="00000000" w:rsidDel="00000000">
              <w:rPr>
                <w:rtl w:val="0"/>
              </w:rPr>
              <w:t xml:space="preserve"> apakšpunktā minētajām darbībām sīkajiem (mikro), mazajiem, vidējiem un lielajiem komersantiem ir 50 %.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MKN 37.5.apakšpunkts uz lielajiem komersantiem nav attiecināms, jo tas ir vaučeru atbalsts. Aicinām precizēt MKN redakciju, lai neradītu liekas interpretācijas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sadaļā "Finansējuma saņēmēja pienākumi, kas saistīti ar komercdarbības atbalsta administrēšanu un izsniegšanu" lūdzam precizēt tekstā "Apliecinājumu Finansējuma saņēmējs glabā atbilstoši Regulas 2018/1046 132. pantam un šo noteikumu 98. punktam" atsauci uz korektu MK noteikumu punktu - 88.punktu.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Apliecinājumu Finansējuma saņēmējs glabā atbilstoši Regulas 2018/1046 132. pantam un šo noteikumu 88.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ar izziņas 382. punktā EM sniegto skaidrojumu par finanšu plūsmas nodrošināšanu.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kā kārtējo (n) gadu norādīt 2023.gadu, attiecīgi precizējot atspoguļoto ietekmi uz budžetu. Vienlaikus 7.punktā lūdzam norādīt iestādi, kurā projektu ietvaros tiks izveidotas 30 jaunas amata vietas.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Centrālās finanšu un līgumu aģentūrai izsludināt projektu pieteikumu atlasi pēc šo noteikumu spēkā stāšanās.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redakcionāli precizēt protokollēmuma 5. punktu, t.sk. vārdu “pieteikumu” aizstājot ar “iesniegumu” nolūkā ievērot vienotu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Centrālajai finanšu un līgumu aģentūrai izsludināt projektu iesniegumu atlasi pēc šo noteikumu spēkā stāšanās.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22-TA-2786</w:t>
    </w:r>
    <w:r>
      <w:br/>
    </w:r>
    <w:r w:rsidR="00000000" w:rsidRPr="00000000" w:rsidDel="00000000">
      <w:rPr>
        <w:rtl w:val="0"/>
      </w:rPr>
      <w:t xml:space="preserve">Izdrukāts 27.10.2023.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22-TA-2786</w:t>
    </w:r>
    <w:r>
      <w:br/>
    </w:r>
    <w:r w:rsidR="00000000" w:rsidRPr="00000000" w:rsidDel="00000000">
      <w:rPr>
        <w:rtl w:val="0"/>
      </w:rPr>
      <w:t xml:space="preserve">Izdrukāts 27.10.2023.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Atzinumi_22-TA-2786.docx</dc:title>
</cp:coreProperties>
</file>

<file path=docProps/custom.xml><?xml version="1.0" encoding="utf-8"?>
<Properties xmlns="http://schemas.openxmlformats.org/officeDocument/2006/custom-properties" xmlns:vt="http://schemas.openxmlformats.org/officeDocument/2006/docPropsVTypes"/>
</file>