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“Esošās situācijas raksturojums””: šo sadaļu ierosinām papildināt ar analīzi par tirgus nepilnībām, ar secinājumu par to, kas būtu efektīvākie pasākumi mājokļu politikās mērķu sasniegšanai dažādām grupām ievērojot ierobežotos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notikušo ministriju kompetenču pārdali, ziņojumā nepieciešams ietvert informāciju par pašreizējo statusu esošām programmām mājokļu jomā, lai ieviestu skaidrību par atbildības sadalījumu starp ministrijām (KEM, EM, VARAM un FM)  un par ministriju un pašvaldību īstenojamajiem projektiem un plāniem un faktisko resursu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situāciju par finansējuma avotiem: pamatnostādnes paredz, ka Mājokļu fonda institūcijas (MFI) finansēšanai novirzīs Emisijas kvotu izsolīšanas instrumenta ieņēmumus no VARAM.  Taču pēc KEM izveidošanas šie līdzekļi neatrodas VARAM kompetencē, līdz ar to nepieciešams situācijas paskaidrojums.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04.09.2024.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04.09.2024.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