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24-TA-3045: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Patērētāju tiesību aizsardzības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septiņpadsmito, astoņpadsmito, deviņpadsmito, divdesmito, divdesmit pirmo, divdesmit otro, divdesmit trešo, divdesmit ceturto, divdesmit piekto, divdesmit sesto un divdesmit septīto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Kredītu piešķiršanai, kredītu starpniecībai un veicināšanai un konsultāciju pakalpojumiem ir jābūt balstītiem uz informāciju par patērētāja apstākļiem un jebkādām īpašām prasībām, par kurām patērētājs ir informējis kredīta devēju, un pamatotiem pieņēmumiem par iespējamiem riskiem, kas patērētājam var rasties kreditēšanas līguma darbības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Veids, kādā kredīta devējs atalgo savu personālu un kredīta starpniekus, kā arī veids, kādā kredīta starpnieks atalgo savu personālu un kredīta starpnieka pārstāvjus, nedrīkst būt par šķērsli šā panta piecpadsmitajā daļā minētā pienākuma ievērošanai.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Kredīta devējs, ņemot vērā tā darbības apjomu, organizatorisko struktūru, darbības veidu, sarežģītību un specifiku, nodrošina tādas atalgojuma politikas izstrādi, ieviešanu un pastāvīgu uzturēšanu, 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veicina pamatotu un efektīvu riska pārvaldību un ir savienojama ar to, kā arī nemudina uzņemties riskus, kas pārsniedz kredīta devēja pieļaujamā riska robežu;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atbilst kredīta devēja darbības stratēģijai, mērķiem, vērtībām un ilgtermiņa interesēm un ietver pasākumus interešu konfliktu un korupcijas risku novēršanai, it īpaši paredzot, ka atalgojums nav atkarīgs no pieņemto un apstiprināto kredīta pieteikumu skaita, summas vai īpatsvara.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Ja kredīta devēji, kredīta starpnieki vai kredīta starpnieku pārstāvji dod patērētājam padomus, padomu došanā iesaistītā personāla atalgojuma struktūra nekaitē tā spējai rīkoties patērētāju interesēs un it īpaši nav atkarīga no pārdošanas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Pirms patērētāja kreditēšanas līguma noslēgšanas kredīta starpniekam vai kredīta starpnieka pārstāvim ir aizliegts pieprasīt no patērētāja jebkādus maksājumus, kas tieši saistīti ar patērētāja kreditēšanas līguma noslēgšanu.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Kredīta devēja, kredīta starpnieka un kredīta starpnieka pārstāvja pienākums ir uzturēt personālam tā pienākumiem atbilstošu zināšanu un kompetences līmeni attiecībā uz: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patērētāja kreditēšanas līgumu izstrādāšanu, piedāvāšanu vai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kredīta starpniecības darbību veikšanu, ja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padoma došanu patērētājam, ja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papildu pakalpojumiem, ja patērētāja kreditēšanas līguma noslēgšana ietver papildu pakalpojumu.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Kredīta devējs, kredīta starpnieks vai kredīta starpnieka pārstāvis izstrādā politiku sava personāla zināšanu un kompetences līmeņa uzturēšanai, personāla profesionālo kvalifikāciju nodrošinot ar prasībām attiecībā uz personāla izglītību, personāla apmācības programmām vai regulārām kompetenču pārbaudēm. Šā panta divdesmit otrajā daļā minētajās prasībās attiecībā uz zināšanu un kompetences līmeni ir jāietver vismaz atbilstošas zināšanas: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kreditēšanas pakalpojumiem un, ja nepieciešams, papildu pakalpojumiem, kurus parasti piedāvā kopā ar 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patērētāju tiesību aizsardzības un citiem tiesību aktiem, kas piemērojami patērētāja kreditēšanas līgumiem;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 nekustamā īpašuma iegādes procesu, nodrošinājuma novērtēšanu, nekustamā īpašuma ierakstīšanu un ar to saistīto tiesību nostiprināšanu zemesgrāmatā, ja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 kreditēšanas tirgu;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par saimnieciskās darbības ētiku;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par procesu, kādā izvērtē patērētāja spēju atmaksāt kredītu, vai konkrētā gadījumā — kompetenci izvērtēt patērētāja spēju atmaksāt kredītu;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par finanšu un ekonomikas jautājumiem.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Kredīta devējs kavētu maksājumu gadījumā ievēro saprātīgu iecietību, pirms tiek uzsāktas parādu atgūšanas vai piedziņas darbības. Šādos iecietības pasākumos ņem vērā patērētāja individuālos apstākļus un citus elementus. Iecietības pasākumus kredīta devējiem nav jāpiedāvā atkārtoti, izņemot pamatotus gadījumus.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Iecietības pasākumi var ietvert: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kreditēšanas līguma pilnīgu vai daļēju pārkreditēšanu;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spēkā esoša kreditēšanas līguma noteikumu grozīšanu, kas var iekļaut: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kreditēšanas līguma termiņa pagarināšanu;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kreditēšanas līguma veida maiņu;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visas atmaksājuma summas vai tā daļas atlikšanu uz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aizņēmuma likmes samazināšanu;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pamatsummas un/vai procentu maksājumu daļas atlikšanu;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 maksājumu sadalīšanu;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 valūtas maiņu;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 daļēju parāda atlaišanu un parādu (saistību) apvienošanu.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Konsultāciju pakalpojumus parādu jautājumos valsts vārdā nodrošina institūcija, kurai Ministru kabinets noteicis vai deleģējis pildīt šo valsts pārvaldes uzdevumu.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Kredīta devējs ievieš procedūras un politikas, lai savlaicīgi atklātu patērētājus, kas nonākuši vai varētu nonākt finansiālās grūtībās. Kredīta devējam ir pienākumu informēt šādus patērētājus par konsultāciju pakalpojumiem parādu jautājumos."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 likumprojekta 8.panta piecpadsmitā daļa paredz visām patērētāju kreditēšanas pakalpojumu sniegšanā, </w:t>
            </w:r>
            <w:r w:rsidR="00000000" w:rsidRPr="00000000" w:rsidDel="00000000">
              <w:rPr>
                <w:u w:val="single"/>
                <w:rtl w:val="0"/>
              </w:rPr>
              <w:t xml:space="preserve">tostarp to reklamēšanā,</w:t>
            </w:r>
            <w:r w:rsidR="00000000" w:rsidRPr="00000000" w:rsidDel="00000000">
              <w:rPr>
                <w:rtl w:val="0"/>
              </w:rPr>
              <w:t xml:space="preserve"> rīkoties godīgi, taisnīgi, pārredzami un profesionāli. Savukārt šā panta septiņpadsmitā daļa nosaka, ka </w:t>
            </w:r>
            <w:r w:rsidR="00000000" w:rsidRPr="00000000" w:rsidDel="00000000">
              <w:rPr>
                <w:u w:val="single"/>
                <w:rtl w:val="0"/>
              </w:rPr>
              <w:t xml:space="preserve">visām piecpadsmitajām daļā minētajām darbībām</w:t>
            </w:r>
            <w:r w:rsidR="00000000" w:rsidRPr="00000000" w:rsidDel="00000000">
              <w:rPr>
                <w:rtl w:val="0"/>
              </w:rPr>
              <w:t xml:space="preserve"> ir jābūt balstītām uz informāciju par patērētāja apstākļiem, un jebkādām īpašām prasībām, par kurām patērētājs ir informējis kredīta devēju, un pamatotiem pieņēmumiem par iespējamiem riskiem, kas patērētājam var rasties kreditēšanas līguma darbības laikā.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apsvērt papildināt vai precizēt likumprojektu vai tā anotāciju par to, kādā veidā septiņpadsmitās daļas prasības ir īstenojamas uz kreditēšanas pakalpojumu reklamēšanu.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Egija Gulbinska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8.</w:t>
            </w:r>
            <w:r w:rsidR="00000000" w:rsidRPr="00000000" w:rsidDel="00000000">
              <w:rPr>
                <w:vertAlign w:val="superscript"/>
                <w:rtl w:val="0"/>
              </w:rPr>
              <w:t xml:space="preserve">6</w:t>
            </w:r>
            <w:r w:rsidR="00000000" w:rsidRPr="00000000" w:rsidDel="00000000">
              <w:rPr>
                <w:rtl w:val="0"/>
              </w:rPr>
              <w:t xml:space="preserve">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r w:rsidR="00000000" w:rsidRPr="00000000" w:rsidDel="00000000">
              <w:rPr>
                <w:vertAlign w:val="superscript"/>
                <w:rtl w:val="0"/>
              </w:rPr>
              <w:t xml:space="preserve">6 </w:t>
            </w:r>
            <w:r w:rsidR="00000000" w:rsidRPr="00000000" w:rsidDel="00000000">
              <w:rPr>
                <w:rtl w:val="0"/>
              </w:rPr>
              <w:t xml:space="preserve">pants Kārtība, kādā reģistrē atlikto maksājumu pakalpojuma sniedzēju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Atlikto maksājumu pakalpojumu, ko sniedz liels uzņēmums patērētājam drīkst sniegt Atlikto maksājumu pakalpojuma sniedzēju reģistrā reģistrēti atlikto maksājumu pakalpojuma sniedzēji.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Atlikto maksājumu pakalpojuma sniedzēju reģistru uztur Patērētāju tiesību aizsardzības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Kārtību, kādā atlikto maksājumu pakalpojuma sniedzēji tiek reģistrēti reģistrā un izslēgti no reģistra, reģistrā iekļaujamo ziņu apjomu un to aktualizēšanas kārtību, reģistrācijas valsts nodevas un ikgadējās uzraudzības valsts nodevas apmēru un tās samaksas kārtību, kā arī prasības atlikto maksājumu pakalpojumu sniedzējiem un atlikto maksājumu pakalpojuma sniedzēju pienākumus nosaka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Likumprojekta 8.</w:t>
            </w:r>
            <w:r w:rsidR="00000000" w:rsidRPr="00000000" w:rsidDel="00000000">
              <w:rPr>
                <w:vertAlign w:val="superscript"/>
                <w:rtl w:val="0"/>
              </w:rPr>
              <w:t xml:space="preserve">6 </w:t>
            </w:r>
            <w:r w:rsidR="00000000" w:rsidRPr="00000000" w:rsidDel="00000000">
              <w:rPr>
                <w:rtl w:val="0"/>
              </w:rPr>
              <w:t xml:space="preserve">pantu " Kārtība, kādā reģistrē atlikto maksājumu pakalpojuma sniedzēju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Atlikto maksājumu pakalpojumu, ko sniedz liels uzņēmums patērētājam drīkst sniegt Atlikto maksājumu pakalpojuma sniedzēju reģistrā reģistrēti atlikto maksājumu pakalpojuma sniedzēji.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Atlikto maksājumu pakalpojuma sniedzēju reģistru uztur Patērētāju tiesību aizsardzības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Kārtību, kādā atlikto maksājumu pakalpojuma sniedzēji tiek reģistrēti reģistrā un izslēgti no reģistra, reģistrā iekļaujamo ziņu apjomu un to aktualizēšanas kārtību, reģistrācijas valsts nodevas un ikgadējās uzraudzības valsts nodevas apmēru un tās samaksas kārtību, kā arī prasības atlikto maksājumu pakalpojumu sniedzējiem un atlikto maksājumu pakalpojuma sniedzēju pienākumus nosaka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izvērtēt iespēju papildināt anotāciju ar skaidrojumu par to, uz kādu pakalpojumu sniedzējiem, kas šobrīd piedāvā savus preču un pakalpojumu iegādi patērētājiem, plānotais regulējums tiks attiecināts, kā arī kādu ietekmi tas radīs uz patērētāju kreditēšanas jomu. Norādām, ka anotācijā ietvertais problēmas apraksts nesniedz priekšstatu par  nepieciešamību paredzēt šādu atlikto maksājumu pakalpojumu sniedzēju uzraudzības mehānismu.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Egija Gulbinska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24-TA-3045</w:t>
    </w:r>
    <w:r>
      <w:br/>
    </w:r>
    <w:r w:rsidR="00000000" w:rsidRPr="00000000" w:rsidDel="00000000">
      <w:rPr>
        <w:rtl w:val="0"/>
      </w:rPr>
      <w:t xml:space="preserve">Izdrukāts 05.06.2025. 12.18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24-TA-3045</w:t>
    </w:r>
    <w:r>
      <w:br/>
    </w:r>
    <w:r w:rsidR="00000000" w:rsidRPr="00000000" w:rsidDel="00000000">
      <w:rPr>
        <w:rtl w:val="0"/>
      </w:rPr>
      <w:t xml:space="preserve">Izdrukāts 05.06.2025. 12.18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Atzinumi_24-TA-3045.docx</dc:title>
</cp:coreProperties>
</file>

<file path=docProps/custom.xml><?xml version="1.0" encoding="utf-8"?>
<Properties xmlns="http://schemas.openxmlformats.org/officeDocument/2006/custom-properties" xmlns:vt="http://schemas.openxmlformats.org/officeDocument/2006/docPropsVTypes"/>
</file>