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41.6.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vai noteikumu projekta 21., 24., 31. punktā un 41.6. apakšpunktā minētās Eiropas Savienības regulas ir atbilstoši ieviestas noteikumu projektā. Ņemot vērā minēto, Tieslietu ministrija varēs sniegt precīzu izvērtējumu par noteikumu projekta atbilstību minētajām Eiropas Savienības regulām pēc anotācijas precizēšanas, aizpildot anotācijas 5. sadaļu, jo īpaši tās 5.4.1.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25.06.2024.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25.06.2024.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Atzinumi_24-TA-880.docx</dc:title>
</cp:coreProperties>
</file>

<file path=docProps/custom.xml><?xml version="1.0" encoding="utf-8"?>
<Properties xmlns="http://schemas.openxmlformats.org/officeDocument/2006/custom-properties" xmlns:vt="http://schemas.openxmlformats.org/officeDocument/2006/docPropsVTypes"/>
</file>