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182 "Noteikumi par higiēnas prasībām tetovēšanas un pīrsinga pakalpojumu sniegšanai un speciālajām prasībām tetovēšanas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apakšpunktā veikto labojumu formulējumu korektumu,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w:t>
            </w:r>
            <w:r w:rsidR="00000000" w:rsidRPr="00000000" w:rsidDel="00000000">
              <w:rPr>
                <w:rtl w:val="0"/>
              </w:rPr>
              <w:t xml:space="preserve">laboto teksta daļu: "(6) svītrot noteikumu 18. punktu, jo prasība par marķējumā norādāmo maisījuma uzglabāšanas režīmu nav noteikta Regulā 2020/2081, ar kuru groza Regulas 1907/2006  XVII pielikumu un nav obligāta, bet to norāda pēc nepieciešamības, ko novērtējis ražotājs" un papildināt to ar šķietami iztrūkstošo informāciju par pamatojumu marķējumā norādāmā maisījuma uzglabāšanas režīma novērtēšanai. Vēršam uzmanību, ka pamatojoties uz anotācijā sniegto informāciju, 7. punktā paredzēto grozījumu mērķis ir novērst Regulas prasību dublēšanu, bet citētajā anotācijas daļā tiek minēts, ka attiecīgā prasība nemaz nav noteikta regulā. Attiecīgi sniegtais skaidrojums nav viennozīmīgi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w:t>
            </w:r>
            <w:r w:rsidR="00000000" w:rsidRPr="00000000" w:rsidDel="00000000">
              <w:rPr>
                <w:rtl w:val="0"/>
              </w:rPr>
              <w:t xml:space="preserve">laboto teksta daļu: "Projektā paredzēts precizēt programmas 6.punktu „Tetovēšanai un pīrsingam izmantojamie materiāli un to drošības prasības”, </w:t>
            </w:r>
            <w:r w:rsidR="00000000" w:rsidRPr="00000000" w:rsidDel="00000000">
              <w:rPr>
                <w:u w:val="single"/>
                <w:rtl w:val="0"/>
              </w:rPr>
              <w:t xml:space="preserve">papildinot ar atsauci uz Regulu 2020/2081, ar kuru groza Regulas 1907/2006 XVII pielikumu</w:t>
            </w:r>
            <w:r w:rsidR="00000000" w:rsidRPr="00000000" w:rsidDel="00000000">
              <w:rPr>
                <w:rtl w:val="0"/>
              </w:rPr>
              <w:t xml:space="preserve"> [..]" norādot, ka pielikums tiek papildināts ar atsauci uz Eiropas Parlamenta un Padomes 2006. gada 18. decembra </w:t>
            </w:r>
            <w:r w:rsidR="00000000" w:rsidRPr="00000000" w:rsidDel="00000000">
              <w:rPr>
                <w:u w:val="single"/>
                <w:rtl w:val="0"/>
              </w:rPr>
              <w:t xml:space="preserve">Regulu (EK) Nr. 1907/2006</w:t>
            </w:r>
            <w:r w:rsidR="00000000" w:rsidRPr="00000000" w:rsidDel="00000000">
              <w:rPr>
                <w:rtl w:val="0"/>
              </w:rPr>
              <w:t xml:space="preserve">, kas attiecas uz ķimikāliju reģistrēšanu, vērtēšanu, licencēšanu un ierobežošanu ( REACH ),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precizēt apzīmējumu "regula", jo nav pilnībā skaidrs, uz kuru no anotācijā minētajiem Eiropas Savienības tiesību aktiem konkrētā norāde ir attiecināta. Atbilstoši juridiskās tehnikas prasībām iesakām lietot anotācijā pieteiktos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22-TA-3110</w:t>
    </w:r>
    <w:r>
      <w:br/>
    </w:r>
    <w:r w:rsidR="00000000" w:rsidRPr="00000000" w:rsidDel="00000000">
      <w:rPr>
        <w:rtl w:val="0"/>
      </w:rPr>
      <w:t xml:space="preserve">Izdrukāts 12.10.2023.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22-TA-3110</w:t>
    </w:r>
    <w:r>
      <w:br/>
    </w:r>
    <w:r w:rsidR="00000000" w:rsidRPr="00000000" w:rsidDel="00000000">
      <w:rPr>
        <w:rtl w:val="0"/>
      </w:rPr>
      <w:t xml:space="preserve">Izdrukāts 12.10.2023.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Atzinumi_22-TA-3110.docx</dc:title>
</cp:coreProperties>
</file>

<file path=docProps/custom.xml><?xml version="1.0" encoding="utf-8"?>
<Properties xmlns="http://schemas.openxmlformats.org/officeDocument/2006/custom-properties" xmlns:vt="http://schemas.openxmlformats.org/officeDocument/2006/docPropsVTypes"/>
</file>